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2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52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before="336" w:after="336" w:line="240" w:lineRule="auto"/>
              <w:ind w:right="-300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Leistungsbeschreibung / Preisblatt:</w:t>
            </w:r>
          </w:p>
        </w:tc>
      </w:tr>
    </w:tbl>
    <w:p w:rsidR="00000000" w:rsidRDefault="000849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IT-Hardware Rechenzentrum/Server</w:t>
      </w:r>
    </w:p>
    <w:p w:rsidR="00000000" w:rsidRDefault="000849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8"/>
          <w:szCs w:val="18"/>
        </w:rPr>
      </w:pPr>
      <w:r>
        <w:rPr>
          <w:rFonts w:ascii="Arial" w:hAnsi="Arial" w:cs="Arial"/>
          <w:color w:val="0000FF"/>
          <w:sz w:val="18"/>
          <w:szCs w:val="18"/>
        </w:rPr>
        <w:t>Lieferung, inkl. Einbau, Anschluss und Konfiguration von IT-Hardware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99"/>
        <w:gridCol w:w="7594"/>
        <w:gridCol w:w="31"/>
        <w:gridCol w:w="1199"/>
        <w:gridCol w:w="270"/>
        <w:gridCol w:w="1530"/>
        <w:gridCol w:w="1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OZ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Bezeichnung / Beschreibung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Menge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Einzelpreis (Netto)</w:t>
            </w:r>
          </w:p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 EURO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Gesamtpreis (Netto)</w:t>
            </w:r>
          </w:p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 EURO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Unterbrechungsfreie Stromversorgung (USV) Typ A</w:t>
            </w:r>
          </w:p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Lieferung von Enterprise USV Systemen Typ A, die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anspruchsvolle Unternehmensanwendungen einsetzbar sind einschlie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lich aller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den bestimmungsgem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en Betrieb erforderlichen Komponenten.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Folgende Technische und Hardwareeigenschaften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llt we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rden: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Eigenschaften und Umfang: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- 2U Rack 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- Die USV muss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eine Managementkarte verf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gen, die mit der Management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sung “PowerChute Network Shutdown” des Auftraggebers kompatibel sowie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den vollen Funktionsumfang vom Hersteller lizenziert 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USV-Typ: Online-Doppelwandlung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Nennleistung mindestens 3000 VA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Haupteingangs- und Ausgangs-spannung 230 V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Anschlussart der Eing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 Schuko (CEE 7/EU1-16) inklusive erforderlicher Anschlusskabel -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notwendig aufgrund vorhandener Infras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truktur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Anschlussart der Ausg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nge mindestens 8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×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IEC 60320 C13 sowie mindestens 2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×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IEC 60320 C19 -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notwendig aufgrund vorhandener Infrastruktur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Netzwerkmanagement-Karte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Rack-Montage-Halterungen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Rack-Montage-Tragschienen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Rack PDU, 1 HE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, 16 A, 208/230 V, Ausg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nge mit mindestens 12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×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IEC 60320 C13-Ausg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ngen oder gleichwertiger Ausstattung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Unterbrechungsfreie Stromversorgung (USV) Typ B</w:t>
            </w:r>
          </w:p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Lieferung von Enterprise USV Systemen Typ B, die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anspruchsvolle Unternehmensanwend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ungen einsetzbar sind einschlie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lich aller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den bestimmungsgem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en Betrieb erforderlichen Komponenten.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Folgende Technische und Hardwareeigenschaften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llt werden: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Eigenschaften und Umfang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- 2U Rack 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- Die USV muss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eine Managementk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arte verf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gen, die mit der Management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sung “PowerChute Network Shutdown” des Auftraggebers kompatibel sowie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den vollen Funktionsumfang vom Hersteller lizenziert ist.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USV-Typ: Online-Doppelwandlung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Nennleistung: mindestens 2200 VA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Haupteingangs-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und Ausgangs-spannung 230 V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Anschlussart der Eing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 Schuko (CEE 7/EU1-16) inklusive erforderlicher Anschlusskabel -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notwendig aufgrund vorhandener Infrastruktur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Anschlussart der Ausg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nge mindestens 8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×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IEC 60320 C13 sowie mindestens 2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×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EC 60320 C19 -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notwendig aufgrund vorhandener Infrastruktur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Netzwerkmanagement-Karte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Rack-Montage-Halterungen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Rack-Montage-Tragschienen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2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Hypervisor Server</w:t>
            </w:r>
          </w:p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Lieferung, Einbau, Installation, Konfiguration und Inbetriebnahme von Enterprise Server Systemen, die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anspruchsvolle Unternehmensanwendungen, Virtualisierung, Datenanalyse-Workloads und hybride Cloud-Szenarien einsetzbar sind.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Eigenschaften und Umfang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- 2U Rack 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Aufgrund vorhandene virtueller Maschinen auf Intel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®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Basis,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bis zu zwei Intel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®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Xeon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®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6 Serverprozessoren mit mindestens 16 Kernen pro Prozessor.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Erweiterbarkeit auf mindestens 8 TB Arbeitsspeicher DDR5 mit bis zu 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400 MT/s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PCIe Gen5-Unterst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glichkeit zur Erweiterung um mindestens einen zus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tzlichen OCP-Netzwerkadapter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Das Serversystem muss einen Management- bzw. Fernwartungsadapter besitzen, welches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den vollen Funktionsumfang vom Hersteller lizenzi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ert ist.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Eine Ausstattung mit Redundanten Netzteilen &amp;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ftern wird vorausgesetzt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der aktuell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tzten Version von VMware sowie ESXi 8.0 sowie Microsoft Windows Server 2025. Dies umfasst insbesondere Prozessoren, Speicher, Contr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oller, Netzwerkkarten, Storage Module sowie alle weiteren relevanten Systemkomponenten.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Alle Netzwerktransceiver im SFP+ Format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durch den Hersteller des Serversystems freigegeben sein.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- 1 x 16 CPU Kerne, Basistakt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3 GHz (aufgrund von vorhanden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en Lizenzen keine Abweichung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glich)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Min. 384 GB Dual Rank Direktzugriffsspeicher, Registered, DDR5-6400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- Min. 480 GB Storage Kapazit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im Hardware RAID1 Verbund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Min. 2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 10 GBit/s Netzwerkanschl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sse, SFP+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Min. 2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 SFP+ SR Transceivermodule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Min. 4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 1 GBit/s Netzwerkanschl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sse, RJ-45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Min. 2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 Single-Port Fibre-Channel-HBA mit 32 Gbit/s, kompatibel zur vorhandenen SAN-Infrastruktur.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Rack Montage Kit mit Kabelmanagement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Redundante Netzteile, Hot-Plug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hig, Leistung bestm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glich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auf Serversystem abgestimmt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Hersteller Support: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Es sind Garantiepakete des Herstellers mit mindestens 36 Monaten Laufzeit vorzusehen, die Hardware und Software Service Features beinhalten. Der Leistungsumfang umfasst einen 24x7 Zugriff auf Self-Serve- /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Self-Solve-Service-Funktionen. Als Service Level sind mindestens 2 Stunden Reaktionszeit und eine Vor-Ort-Unterst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 innerhalb von 4 Stunden vorzusehen.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3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Campus Core Switch</w:t>
            </w:r>
          </w:p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Lieferung, Einbau, Installation, Konfiguration und Inbetriebn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ahme eines modularen Layer 3 Enterprise-Switches inkl. erforderlicher Module, Netzteile und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fter.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Eigenschaften und Umfang: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Modularer Chassis-Switch mit mindestens sechs Steckpl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Netzwerkmodule. Von den sechs Steckpl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tzen sind mindestens drei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frei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ckbar zu halten.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Management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Module: redundant, hot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swappable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Switching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Kapazit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mindestens 900 Gbps Switching-Kapazit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und mindestens 700 Mpps Forwarding Rate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Switching-Architektur mit einer Paketweiterleitungsleistung, die einen non-blo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cking Betrieb bei voller Portauslastung erm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glicht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PoE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tzung: Multi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Gigabit bis 90W bis Class 8 PoE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Front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to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Back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Airflow, rack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mountable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MACsec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Hardwaref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higkeit integriert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min. Routing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Protokolle: BGP, OSPF, RIP, PIM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 eine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hochverf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gbaren Core-Switch-Architektur mit redundanten Chassis, unterbrechungsfreien Softwareupdates sowie redundanter Anbindung von Endsystemen und nachgelagerten Switches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Integrierte Analyse- und Telemetriefunktionen zur Echtzeit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 des Netz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werkzustands, Performance-Monitoring und Fehleranalyse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-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tzung einer rollenbasierten Zugriffskontrolle mit konsistenter Durchsetzung von Sicherheitsrichtlinien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kabelgebundene und drahtlose Netzwerke hinweg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VLAN / VRF (da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ta plane &amp; management VRF)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QoS auf Enterprise Niveau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Automatisierte Konfigurationsverteilung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Zentrales Management (optional)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Der neue Switch soll mit einer Herstellergarantie von mindestens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nf Jahre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den End-of-Sale Zeitpunkt des Produkts hi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nausgehen.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Folgende Netzstandards sind ebenfalls erforderlich: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Link Aggregation (IEEE 802.1AX, IEEE 802.3ad)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Priorisierungs- und VLAN-Technik (IEEE 802.1Q)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Link Layer Discovery Protocol (IEEE 802.1ab)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Multiple Registration Protocol (IEEE 802.1ak)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Spanning Tree Protocol (IEEE 802.1s, IEEE 802.1t, IEEE 802.1w)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1 GB/s (IEEE 802.3z)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10 GB/s (IEEE 802.3ae)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25 GB/s (IEEE 802.3by, IEEE 802.3cc)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Virtual Routing und Forwarding (VRF)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Virtual Extensible LAN (VXLAN)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Line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Card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Optionen: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W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hlbare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Netzwerkmodule (je nach Ausbaustufe):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Multi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Gigabit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Module mit 10M/100M/1G/2,5G/5G/10G       und PoE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zum Teil mit SFP+/SFP28 Uplinks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10G SFP+/LRM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Module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Lieferumfang: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Ein modulares Switch Chassis (inkl.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fter) mit: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2x Netzteile (n+1 redundant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initiale Konfiguration)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2x redundante Management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Module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Netzwerkmodule mit initial mindestens 20x 1G/10G SFP+ Ports und 20x RJ45 10M/100M/1G Class4 PoE Ports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Rack Montage Kit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o 18x 10G SR SFP+ LC 400m OM4 MMF Transceiver Modul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All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Flash Storage Arrays</w:t>
            </w:r>
          </w:p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Lieferung, Einbau, Installation, Konfiguration und Inbetriebnahme eines All#Flash Storage Arrays.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Das System muss hohe Performance, niedrige Latenzen, Enterprise#Features, Skalierbarkeit und umfassende Cyber#Resilienz biet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Eigenschaften und Umfang: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- 1HE bis maximal 2HE Rack 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mit redundanten Storage-Controllern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Das System muss intern erweiterbar sein und die geforderte Netto-Kapazit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sowie die geforderte Erweiterungsreserve ohne externe Erweiterungsgeh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be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reitstellen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Dual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Controller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Architektur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Gesamter Cache: Mindestens 256 GB (2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×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128 GB) zur vollen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 des geforderten Funktionsumfangs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Battery Backed Cache Protection (oder vergleichbar)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Redundante Netzteile &amp;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fter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 der Hos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Anbindung wahlweise/optional per 10/25/100GbE iSCSI bzw. NVMe/TCP, 16/32/64 Gbit/s Fibre Channel bzw. NVMe/FC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Auswahl der Anbindung der mit ausgeschriebenen Server Systeme per Direct Attached Fibre Channel (mind. 16 Gbit/s)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inkl. notwendiger LWL-Kabe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 50/125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µ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 OM4, LC/LC (3m)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Mindestens 14 TiB Nettokapazit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im RAID-6E (oder vergleichbar) nach Best Practice des Herstellers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Erweiterungsreserve von mindestens 200% der Nettokapazit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durch Hinzuf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gen weiterer NVMe Flash-Datentr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ger in die internen Sl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ots (ohne Verwendung von Expansion Enclosures)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Datenreduktion durch Inline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Kompression, Deduplizierung, Thin Provisioning.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Manipulationsgesch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tzte und unver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nderliche Snapshot-Technologie (Immutable Snapshots) mit Unterst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tzung von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indestens 8.000 Snapshots pro System zum Schutz gegen versehentliche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schung, Manipulation und Ransomware-Angriffe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Optional: Mirroring - asynchron, synchron oder HA Failover Cluster bei zuk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nftiger Verwendung eines separat zu beschaffenden kompatiblen 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torage-System derselben Produktfamilie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Schutz des Arrays unter Vorhaltung von Spare Kapazit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ten gegen den Ausfall von mindestens zwei Datentr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gern (RAID-6E oder vergleichbar)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Aufgrund von hoher Effizienz und nutzbarem Speicher ohne Performanceeinschr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kungen, sind selbst verschl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sselnde und selbstkomprimierende mit eigenem Prozessor versehene NVMe Flash-Datentr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gern anzubieten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Integrierte Monitoring- und Analysefunktionen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permanentes Performance</w:t>
            </w:r>
            <w:r>
              <w:rPr>
                <w:rFonts w:ascii="Cambria Math" w:hAnsi="Cambria Math" w:cs="Cambria Math"/>
                <w:color w:val="0000FF"/>
                <w:sz w:val="18"/>
                <w:szCs w:val="18"/>
              </w:rPr>
              <w:t>‑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und Kapazit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tsmonitoring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- proaktive Fehlererkennung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&amp; Wartungsempfehlungen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br/>
              <w:t>Hersteller Support: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- 36 Monate 24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×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7 Same-Day Onsite Repair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- automatischer Herstellerbenachrichtigung bei kritischen Hardware- oder Softwareereignissen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Zwischensumme</w:t>
            </w:r>
          </w:p>
        </w:tc>
        <w:tc>
          <w:tcPr>
            <w:tcW w:w="1800" w:type="dxa"/>
            <w:tcBorders>
              <w:top w:val="single" w:sz="16" w:space="0" w:color="000000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single" w:sz="16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zzgl.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 USt.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Zwischensumme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single" w:sz="16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abzgl.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 Skonto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Endsumme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</w:tbl>
    <w:p w:rsidR="00000000" w:rsidRDefault="000849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Das komplette Angebot besteht aus diesem unterschriebenen Leistungsverzeichnis / Preisblatt sowie den in den Vergabeunterlagen aufgef</w:t>
      </w:r>
      <w:r>
        <w:rPr>
          <w:rFonts w:ascii="Arial" w:hAnsi="Arial" w:cs="Arial"/>
          <w:color w:val="000000"/>
          <w:sz w:val="18"/>
          <w:szCs w:val="18"/>
        </w:rPr>
        <w:t>ü</w:t>
      </w:r>
      <w:r>
        <w:rPr>
          <w:rFonts w:ascii="Arial" w:hAnsi="Arial" w:cs="Arial"/>
          <w:color w:val="000000"/>
          <w:sz w:val="18"/>
          <w:szCs w:val="18"/>
        </w:rPr>
        <w:t>hrten Unterlagen und Nachweisen.</w:t>
      </w:r>
    </w:p>
    <w:p w:rsidR="00000000" w:rsidRDefault="00084910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>Es gelten die beigef</w:t>
      </w:r>
      <w:r>
        <w:rPr>
          <w:rFonts w:ascii="Arial" w:hAnsi="Arial" w:cs="Arial"/>
          <w:color w:val="000000"/>
          <w:sz w:val="18"/>
          <w:szCs w:val="18"/>
        </w:rPr>
        <w:t>ü</w:t>
      </w:r>
      <w:r>
        <w:rPr>
          <w:rFonts w:ascii="Arial" w:hAnsi="Arial" w:cs="Arial"/>
          <w:color w:val="000000"/>
          <w:sz w:val="18"/>
          <w:szCs w:val="18"/>
        </w:rPr>
        <w:t>gten Bewerbungs-, Vergabe- und Vertragsbedingungen</w:t>
      </w:r>
      <w:r>
        <w:rPr>
          <w:rFonts w:ascii="sans-serif" w:hAnsi="sans-serif" w:cs="sans-serif"/>
          <w:color w:val="000000"/>
          <w:sz w:val="24"/>
          <w:szCs w:val="24"/>
        </w:rPr>
        <w:t>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Unterschrift(en) / ggf. zus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tzlich Firmenstempel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0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</w:tbl>
    <w:p w:rsidR="00000000" w:rsidRDefault="00084910">
      <w:bookmarkStart w:id="1" w:name="SV_RefID_PageTotal"/>
      <w:bookmarkEnd w:id="1"/>
    </w:p>
    <w:sectPr w:rsidR="00000000">
      <w:headerReference w:type="default" r:id="rId6"/>
      <w:pgSz w:w="16837" w:h="11905" w:orient="landscape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84910">
      <w:pPr>
        <w:spacing w:after="0" w:line="240" w:lineRule="auto"/>
      </w:pPr>
      <w:r>
        <w:separator/>
      </w:r>
    </w:p>
  </w:endnote>
  <w:endnote w:type="continuationSeparator" w:id="0">
    <w:p w:rsidR="00000000" w:rsidRDefault="00084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84910">
      <w:pPr>
        <w:spacing w:after="0" w:line="240" w:lineRule="auto"/>
      </w:pPr>
      <w:r>
        <w:separator/>
      </w:r>
    </w:p>
  </w:footnote>
  <w:footnote w:type="continuationSeparator" w:id="0">
    <w:p w:rsidR="00000000" w:rsidRDefault="00084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4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62"/>
      <w:gridCol w:w="666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7862" w:type="dxa"/>
          <w:tcBorders>
            <w:top w:val="nil"/>
            <w:left w:val="nil"/>
            <w:bottom w:val="single" w:sz="8" w:space="0" w:color="000000"/>
            <w:right w:val="nil"/>
          </w:tcBorders>
          <w:tcMar>
            <w:top w:w="40" w:type="dxa"/>
            <w:left w:w="40" w:type="dxa"/>
            <w:bottom w:w="40" w:type="dxa"/>
            <w:right w:w="40" w:type="dxa"/>
          </w:tcMar>
          <w:vAlign w:val="center"/>
        </w:tcPr>
        <w:p w:rsidR="00000000" w:rsidRDefault="0008491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FF"/>
              <w:sz w:val="18"/>
              <w:szCs w:val="18"/>
            </w:rPr>
          </w:pPr>
          <w:r>
            <w:rPr>
              <w:rFonts w:ascii="Arial" w:hAnsi="Arial" w:cs="Arial"/>
              <w:color w:val="000000"/>
              <w:sz w:val="18"/>
              <w:szCs w:val="18"/>
            </w:rPr>
            <w:t>Vergabe:</w:t>
          </w:r>
          <w:r>
            <w:rPr>
              <w:rFonts w:ascii="sans-serif" w:hAnsi="sans-serif" w:cs="sans-serif"/>
              <w:color w:val="000000"/>
              <w:sz w:val="24"/>
              <w:szCs w:val="24"/>
            </w:rPr>
            <w:t> </w:t>
          </w:r>
          <w:r>
            <w:rPr>
              <w:rFonts w:ascii="Arial" w:hAnsi="Arial" w:cs="Arial"/>
              <w:color w:val="0000FF"/>
              <w:sz w:val="18"/>
              <w:szCs w:val="18"/>
            </w:rPr>
            <w:t>VA2026_011: IT-Hardware Rechenzentrum/Server</w:t>
          </w:r>
        </w:p>
      </w:tc>
      <w:tc>
        <w:tcPr>
          <w:tcW w:w="6662" w:type="dxa"/>
          <w:tcBorders>
            <w:top w:val="nil"/>
            <w:left w:val="nil"/>
            <w:bottom w:val="single" w:sz="8" w:space="0" w:color="000000"/>
            <w:right w:val="nil"/>
          </w:tcBorders>
          <w:tcMar>
            <w:top w:w="40" w:type="dxa"/>
            <w:left w:w="40" w:type="dxa"/>
            <w:bottom w:w="40" w:type="dxa"/>
            <w:right w:w="40" w:type="dxa"/>
          </w:tcMar>
          <w:vAlign w:val="center"/>
        </w:tcPr>
        <w:p w:rsidR="00000000" w:rsidRDefault="0008491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FF"/>
              <w:sz w:val="18"/>
              <w:szCs w:val="18"/>
            </w:rPr>
          </w:pPr>
          <w:r>
            <w:rPr>
              <w:rFonts w:ascii="Arial" w:hAnsi="Arial" w:cs="Arial"/>
              <w:color w:val="0000FF"/>
              <w:sz w:val="18"/>
              <w:szCs w:val="18"/>
            </w:rPr>
            <w:t>30.06.2026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910"/>
    <w:rsid w:val="0008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8807AC6-C47C-4BE2-97B3-F1093DF1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1405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 Ruben (NFE Group)</dc:creator>
  <cp:keywords/>
  <dc:description/>
  <cp:lastModifiedBy>Krieg Ruben (NFE Group)</cp:lastModifiedBy>
  <cp:revision>2</cp:revision>
  <dcterms:created xsi:type="dcterms:W3CDTF">2026-06-30T06:26:00Z</dcterms:created>
  <dcterms:modified xsi:type="dcterms:W3CDTF">2026-06-30T06:26:00Z</dcterms:modified>
</cp:coreProperties>
</file>