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32.2/11/2026</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Rahmenvertrag optische Kanalinspektion und Reinigung 2026/2027 im gesamten Stadtgebiet Seelze</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Rahmenvertrag für die optische Inspektion der Abwasseranlagen (Haltungen, Leitungen &amp; Schächte) im gesamten Stadtgebiet Seelze mit vorhergehender Reinigung.
Das geschätzte Auftragsvolumen beläuft sich auf ca. 91.938,76 EUR brutto jährlich. Dieses geschätzte Auftragsvolumen wird hiermit nicht festgelegt, d.h. es kann höher oder geringer ausfallen.
Nähere Informationen entnehmen Sie bitte den Vergabeunterlagen, insbes. dem beigefügten Leistungsverzeichnis.</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