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0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72"/>
        <w:gridCol w:w="2955"/>
      </w:tblGrid>
      <w:tr w:rsidR="00C56967" w14:paraId="02185BA3" w14:textId="77777777" w:rsidTr="00C33C7E">
        <w:trPr>
          <w:trHeight w:hRule="exact" w:val="121"/>
        </w:trPr>
        <w:tc>
          <w:tcPr>
            <w:tcW w:w="7072" w:type="dxa"/>
          </w:tcPr>
          <w:p w14:paraId="5AF7F68B" w14:textId="77777777" w:rsidR="00C56967" w:rsidRPr="00DD57E2" w:rsidRDefault="00C56967" w:rsidP="00DD57E2">
            <w:pPr>
              <w:pStyle w:val="GSIAbs"/>
            </w:pPr>
            <w:r w:rsidRPr="00DD57E2">
              <w:t xml:space="preserve">GSI </w:t>
            </w:r>
            <w:r w:rsidR="00DD57E2" w:rsidRPr="00DD57E2">
              <w:rPr>
                <w:rFonts w:cstheme="minorHAnsi"/>
                <w:b/>
                <w:bCs/>
              </w:rPr>
              <w:t>·</w:t>
            </w:r>
            <w:r w:rsidR="00DD57E2" w:rsidRPr="00DD57E2">
              <w:t xml:space="preserve"> Planckstraße 1 </w:t>
            </w:r>
            <w:r w:rsidR="00DD57E2" w:rsidRPr="00DD57E2">
              <w:rPr>
                <w:rFonts w:cstheme="minorHAnsi"/>
                <w:b/>
                <w:bCs/>
              </w:rPr>
              <w:t>·</w:t>
            </w:r>
            <w:r w:rsidR="00DD57E2" w:rsidRPr="00DD57E2">
              <w:t xml:space="preserve"> 64291 Darmstadt </w:t>
            </w:r>
            <w:r w:rsidR="00DD57E2" w:rsidRPr="00DD57E2">
              <w:rPr>
                <w:rFonts w:cstheme="minorHAnsi"/>
                <w:b/>
                <w:bCs/>
              </w:rPr>
              <w:t>·</w:t>
            </w:r>
            <w:r w:rsidR="00DD57E2" w:rsidRPr="00DD57E2">
              <w:t xml:space="preserve"> Deutschland</w:t>
            </w:r>
          </w:p>
        </w:tc>
        <w:tc>
          <w:tcPr>
            <w:tcW w:w="2955" w:type="dxa"/>
            <w:vMerge w:val="restart"/>
          </w:tcPr>
          <w:p w14:paraId="75BA2B34" w14:textId="77777777" w:rsidR="00FA011E" w:rsidRDefault="00FA011E" w:rsidP="00C84DB5">
            <w:pPr>
              <w:pStyle w:val="GSIAdr"/>
              <w:spacing w:before="120"/>
            </w:pPr>
          </w:p>
        </w:tc>
      </w:tr>
      <w:tr w:rsidR="00C56967" w14:paraId="42BE2EB9" w14:textId="77777777" w:rsidTr="00C33C7E">
        <w:trPr>
          <w:trHeight w:hRule="exact" w:val="2206"/>
        </w:trPr>
        <w:tc>
          <w:tcPr>
            <w:tcW w:w="7072" w:type="dxa"/>
          </w:tcPr>
          <w:p w14:paraId="7B80257F" w14:textId="77777777" w:rsidR="0080105F" w:rsidRDefault="0080105F" w:rsidP="00331AEC">
            <w:pPr>
              <w:pStyle w:val="GSIEmpf"/>
            </w:pPr>
          </w:p>
          <w:p w14:paraId="7E2B7C8F" w14:textId="77777777" w:rsidR="00C56967" w:rsidRPr="0080105F" w:rsidRDefault="0080105F" w:rsidP="00331AEC">
            <w:pPr>
              <w:pStyle w:val="GSIEmpf"/>
              <w:rPr>
                <w:sz w:val="24"/>
                <w:szCs w:val="24"/>
              </w:rPr>
            </w:pPr>
            <w:r w:rsidRPr="0080105F">
              <w:rPr>
                <w:sz w:val="24"/>
                <w:szCs w:val="24"/>
              </w:rPr>
              <w:t>An alle Bewerber</w:t>
            </w:r>
          </w:p>
        </w:tc>
        <w:tc>
          <w:tcPr>
            <w:tcW w:w="2955" w:type="dxa"/>
            <w:vMerge/>
          </w:tcPr>
          <w:p w14:paraId="655681CB" w14:textId="77777777" w:rsidR="00C56967" w:rsidRDefault="00C56967" w:rsidP="0050204D"/>
        </w:tc>
      </w:tr>
      <w:tr w:rsidR="00C56967" w14:paraId="4ED5D961" w14:textId="77777777" w:rsidTr="00C33C7E">
        <w:trPr>
          <w:trHeight w:val="694"/>
        </w:trPr>
        <w:tc>
          <w:tcPr>
            <w:tcW w:w="7072" w:type="dxa"/>
          </w:tcPr>
          <w:p w14:paraId="15135137" w14:textId="77777777" w:rsidR="00C56967" w:rsidRPr="00C84DB5" w:rsidRDefault="00C56967" w:rsidP="0080105F">
            <w:pPr>
              <w:pStyle w:val="berschrift2"/>
              <w:numPr>
                <w:ilvl w:val="0"/>
                <w:numId w:val="0"/>
              </w:numPr>
            </w:pPr>
          </w:p>
        </w:tc>
        <w:tc>
          <w:tcPr>
            <w:tcW w:w="2955" w:type="dxa"/>
            <w:vMerge/>
          </w:tcPr>
          <w:p w14:paraId="211F74F0" w14:textId="77777777" w:rsidR="00C56967" w:rsidRDefault="00C56967" w:rsidP="0050204D"/>
        </w:tc>
      </w:tr>
    </w:tbl>
    <w:p w14:paraId="7D012EEF" w14:textId="77777777" w:rsidR="0080105F" w:rsidRDefault="0080105F" w:rsidP="0080105F">
      <w:pPr>
        <w:tabs>
          <w:tab w:val="left" w:pos="7371"/>
        </w:tabs>
        <w:rPr>
          <w:rFonts w:cs="Arial"/>
        </w:rPr>
      </w:pPr>
    </w:p>
    <w:p w14:paraId="317278B7" w14:textId="77777777" w:rsidR="00051C53" w:rsidRDefault="00051C53" w:rsidP="0080105F">
      <w:pPr>
        <w:tabs>
          <w:tab w:val="left" w:pos="7371"/>
        </w:tabs>
        <w:rPr>
          <w:rFonts w:ascii="Arial" w:hAnsi="Arial" w:cs="Arial"/>
          <w:b/>
          <w:color w:val="548DD4" w:themeColor="text2" w:themeTint="99"/>
          <w:sz w:val="24"/>
          <w:szCs w:val="24"/>
        </w:rPr>
      </w:pPr>
      <w:r>
        <w:rPr>
          <w:rFonts w:ascii="Arial" w:hAnsi="Arial" w:cs="Arial"/>
          <w:b/>
          <w:color w:val="548DD4" w:themeColor="text2" w:themeTint="99"/>
          <w:sz w:val="24"/>
          <w:szCs w:val="24"/>
        </w:rPr>
        <w:t xml:space="preserve">Rechtsbehelfsbelehrung aus </w:t>
      </w:r>
    </w:p>
    <w:p w14:paraId="0F8DE1EB" w14:textId="77777777" w:rsidR="0080105F" w:rsidRDefault="00051C53" w:rsidP="0080105F">
      <w:pPr>
        <w:tabs>
          <w:tab w:val="left" w:pos="7371"/>
        </w:tabs>
        <w:rPr>
          <w:rFonts w:ascii="Arial" w:hAnsi="Arial" w:cs="Arial"/>
          <w:b/>
          <w:color w:val="548DD4" w:themeColor="text2" w:themeTint="99"/>
          <w:sz w:val="24"/>
          <w:szCs w:val="24"/>
        </w:rPr>
      </w:pPr>
      <w:r>
        <w:rPr>
          <w:rFonts w:ascii="Arial" w:hAnsi="Arial" w:cs="Arial"/>
          <w:b/>
          <w:color w:val="548DD4" w:themeColor="text2" w:themeTint="99"/>
          <w:sz w:val="24"/>
          <w:szCs w:val="24"/>
        </w:rPr>
        <w:t>Bekanntmachung Punkt VI. 4.3) Einlegung von Rechtsbehelfen</w:t>
      </w:r>
    </w:p>
    <w:p w14:paraId="5120BB41" w14:textId="77777777" w:rsidR="0063471A" w:rsidRDefault="0063471A" w:rsidP="0080105F">
      <w:pPr>
        <w:tabs>
          <w:tab w:val="left" w:pos="7371"/>
        </w:tabs>
        <w:rPr>
          <w:rFonts w:ascii="Arial" w:hAnsi="Arial" w:cs="Arial"/>
          <w:b/>
          <w:color w:val="548DD4" w:themeColor="text2" w:themeTint="99"/>
          <w:sz w:val="24"/>
          <w:szCs w:val="24"/>
        </w:rPr>
      </w:pPr>
    </w:p>
    <w:p w14:paraId="6FBC8002" w14:textId="77777777" w:rsidR="00051C53" w:rsidRPr="005F5081" w:rsidRDefault="00051C53" w:rsidP="00051C53">
      <w:pPr>
        <w:tabs>
          <w:tab w:val="left" w:pos="7371"/>
        </w:tabs>
        <w:rPr>
          <w:rFonts w:cs="Arial"/>
          <w:u w:val="single"/>
        </w:rPr>
      </w:pPr>
      <w:r w:rsidRPr="005F5081">
        <w:rPr>
          <w:rFonts w:cs="Arial"/>
          <w:u w:val="single"/>
        </w:rPr>
        <w:t>Die zuständ</w:t>
      </w:r>
      <w:r w:rsidR="005F5081" w:rsidRPr="005F5081">
        <w:rPr>
          <w:rFonts w:cs="Arial"/>
          <w:u w:val="single"/>
        </w:rPr>
        <w:t>ige Nachprüfungsbehörde ist die</w:t>
      </w:r>
    </w:p>
    <w:p w14:paraId="2D87ACF0" w14:textId="77777777" w:rsidR="00051C53" w:rsidRPr="00051C53" w:rsidRDefault="00051C53" w:rsidP="00051C53">
      <w:pPr>
        <w:tabs>
          <w:tab w:val="left" w:pos="7371"/>
        </w:tabs>
        <w:rPr>
          <w:rFonts w:cs="Arial"/>
        </w:rPr>
      </w:pPr>
      <w:r w:rsidRPr="00051C53">
        <w:rPr>
          <w:rFonts w:cs="Arial"/>
        </w:rPr>
        <w:t>Vergabekammer des Bundes</w:t>
      </w:r>
    </w:p>
    <w:p w14:paraId="49022F5B" w14:textId="77777777" w:rsidR="00051C53" w:rsidRPr="00051C53" w:rsidRDefault="00051C53" w:rsidP="00051C53">
      <w:pPr>
        <w:tabs>
          <w:tab w:val="left" w:pos="7371"/>
        </w:tabs>
        <w:rPr>
          <w:rFonts w:cs="Arial"/>
        </w:rPr>
      </w:pPr>
      <w:r w:rsidRPr="00051C53">
        <w:rPr>
          <w:rFonts w:cs="Arial"/>
        </w:rPr>
        <w:t>Villemombler Straße 76</w:t>
      </w:r>
    </w:p>
    <w:p w14:paraId="73DF8A6D" w14:textId="77777777" w:rsidR="00051C53" w:rsidRPr="00051C53" w:rsidRDefault="00051C53" w:rsidP="00051C53">
      <w:pPr>
        <w:tabs>
          <w:tab w:val="left" w:pos="7371"/>
        </w:tabs>
        <w:rPr>
          <w:rFonts w:cs="Arial"/>
        </w:rPr>
      </w:pPr>
      <w:r w:rsidRPr="00051C53">
        <w:rPr>
          <w:rFonts w:cs="Arial"/>
        </w:rPr>
        <w:t>53123 Bonn</w:t>
      </w:r>
    </w:p>
    <w:p w14:paraId="61CE65AA" w14:textId="77777777" w:rsidR="00051C53" w:rsidRPr="00051C53" w:rsidRDefault="00051C53" w:rsidP="00051C53">
      <w:pPr>
        <w:tabs>
          <w:tab w:val="left" w:pos="7371"/>
        </w:tabs>
        <w:rPr>
          <w:rFonts w:cs="Arial"/>
        </w:rPr>
      </w:pPr>
      <w:r w:rsidRPr="00051C53">
        <w:rPr>
          <w:rFonts w:cs="Arial"/>
        </w:rPr>
        <w:t>Tel.: 0228 9499-0</w:t>
      </w:r>
    </w:p>
    <w:p w14:paraId="461F2484" w14:textId="77777777" w:rsidR="00051C53" w:rsidRPr="00051C53" w:rsidRDefault="00051C53" w:rsidP="00051C53">
      <w:pPr>
        <w:tabs>
          <w:tab w:val="left" w:pos="7371"/>
        </w:tabs>
        <w:rPr>
          <w:rFonts w:cs="Arial"/>
        </w:rPr>
      </w:pPr>
      <w:r w:rsidRPr="00051C53">
        <w:rPr>
          <w:rFonts w:cs="Arial"/>
        </w:rPr>
        <w:t>Fax: 0228 9499-163</w:t>
      </w:r>
    </w:p>
    <w:p w14:paraId="33C8BC2A" w14:textId="77777777" w:rsidR="00051C53" w:rsidRPr="00051C53" w:rsidRDefault="00051C53" w:rsidP="00051C53">
      <w:pPr>
        <w:tabs>
          <w:tab w:val="left" w:pos="7371"/>
        </w:tabs>
        <w:rPr>
          <w:rFonts w:cs="Arial"/>
        </w:rPr>
      </w:pPr>
      <w:r w:rsidRPr="00051C53">
        <w:rPr>
          <w:rFonts w:cs="Arial"/>
        </w:rPr>
        <w:t xml:space="preserve">E-Mail: vk@bundeskartellamt.bund.de </w:t>
      </w:r>
    </w:p>
    <w:p w14:paraId="36E7536D" w14:textId="77777777" w:rsidR="00051C53" w:rsidRDefault="00051C53" w:rsidP="005F5081">
      <w:pPr>
        <w:rPr>
          <w:rFonts w:cs="Arial"/>
        </w:rPr>
      </w:pPr>
      <w:r>
        <w:rPr>
          <w:rFonts w:cs="Arial"/>
        </w:rPr>
        <w:t xml:space="preserve">Internet: </w:t>
      </w:r>
      <w:hyperlink r:id="rId8" w:history="1">
        <w:r w:rsidR="005F5081" w:rsidRPr="000E0632">
          <w:rPr>
            <w:rStyle w:val="Hyperlink"/>
            <w:rFonts w:cs="Arial"/>
          </w:rPr>
          <w:t>http://www.bundeskartellamt.de/SharedDocs/Kontaktdaten/DE/Vergabekammern.html</w:t>
        </w:r>
      </w:hyperlink>
    </w:p>
    <w:p w14:paraId="637850F7" w14:textId="77777777" w:rsidR="005F5081" w:rsidRPr="00051C53" w:rsidRDefault="005F5081" w:rsidP="005F5081">
      <w:pPr>
        <w:rPr>
          <w:rFonts w:cs="Arial"/>
        </w:rPr>
      </w:pPr>
    </w:p>
    <w:p w14:paraId="19C701CE" w14:textId="77777777" w:rsidR="00051C53" w:rsidRPr="00051C53" w:rsidRDefault="00051C53" w:rsidP="00051C53">
      <w:pPr>
        <w:tabs>
          <w:tab w:val="left" w:pos="7371"/>
        </w:tabs>
        <w:rPr>
          <w:rFonts w:cs="Arial"/>
        </w:rPr>
      </w:pPr>
      <w:r w:rsidRPr="00051C53">
        <w:rPr>
          <w:rFonts w:cs="Arial"/>
        </w:rPr>
        <w:t>Der Bewerber /Bieter wird aufgefordert, die Teile seines Teilnahmeantrags (und später ggf. seines Angebots), die ein Betriebs- oder Geschäftsgeheimnis beinhalten, deutlich zu kennzeichnen. Geschieht dies nicht, kann die Vergabekammer im Falle eines Nachprüfungsverfahrens gegebenenfalls von einer Zustimmung auf Einsicht in seine Unterlagen ausgehen (§165 Abs. 3 GWB). Die GSI ist als Vergabestelle bei der Einleitung eines Nachprüfungsverfahrens dazu verpflichtet, die Vergabeakten der Vergabekammer sofort zur Verfügung zu ste</w:t>
      </w:r>
      <w:r>
        <w:rPr>
          <w:rFonts w:cs="Arial"/>
        </w:rPr>
        <w:t>llen (§ 163 Abs. 2 Satz 3 GWB).</w:t>
      </w:r>
    </w:p>
    <w:p w14:paraId="029CE8CC" w14:textId="77777777" w:rsidR="00051C53" w:rsidRPr="00051C53" w:rsidRDefault="00051C53" w:rsidP="00051C53">
      <w:pPr>
        <w:tabs>
          <w:tab w:val="left" w:pos="7371"/>
        </w:tabs>
        <w:rPr>
          <w:rFonts w:cs="Arial"/>
        </w:rPr>
      </w:pPr>
      <w:r w:rsidRPr="00051C53">
        <w:rPr>
          <w:rFonts w:cs="Arial"/>
        </w:rPr>
        <w:t>Bewerber / Bieter haben einen Anspruch auf Einhaltung der bieterschützenden Bestimmungen über das Vergabeverfahren gegenüber dem Auftraggeber (§ 97 Abs. 6 GWB). Sieht sich ein am Auftrag interessierter Bewerber / Bieter durch Nichtbeachtung von Vergabevorschriften in seinen Rechten verletzt, ist der Verstoß innerhalb von zehn Kalendertagen bei der GSI zu rügen (§ 160 Abs.</w:t>
      </w:r>
      <w:r>
        <w:rPr>
          <w:rFonts w:cs="Arial"/>
        </w:rPr>
        <w:t xml:space="preserve"> 3 Satz 1 Nr. 1 GWB).</w:t>
      </w:r>
    </w:p>
    <w:p w14:paraId="589B8CFC" w14:textId="77777777" w:rsidR="00051C53" w:rsidRPr="00051C53" w:rsidRDefault="00051C53" w:rsidP="00051C53">
      <w:pPr>
        <w:tabs>
          <w:tab w:val="left" w:pos="7371"/>
        </w:tabs>
        <w:rPr>
          <w:rFonts w:cs="Arial"/>
        </w:rPr>
      </w:pPr>
      <w:r w:rsidRPr="00051C53">
        <w:rPr>
          <w:rFonts w:cs="Arial"/>
        </w:rPr>
        <w:t>Verstöße, die aufgrund der Bekanntmachung oder der Vergabeunterlagen erkennbar sind, müssen spätestens bis zu der in der Bekanntmachung genannten Frist zur Abgabe der Bewerbungen (bzw. Angebote) gegenüber der GSI geltend gemacht werden (§ 16</w:t>
      </w:r>
      <w:r>
        <w:rPr>
          <w:rFonts w:cs="Arial"/>
        </w:rPr>
        <w:t>0 Abs. 3 Satz 1 Nr. 2 - 3 GWB).</w:t>
      </w:r>
    </w:p>
    <w:p w14:paraId="627C8633" w14:textId="77777777" w:rsidR="00051C53" w:rsidRPr="00051C53" w:rsidRDefault="00051C53" w:rsidP="00051C53">
      <w:pPr>
        <w:tabs>
          <w:tab w:val="left" w:pos="7371"/>
        </w:tabs>
        <w:rPr>
          <w:rFonts w:cs="Arial"/>
        </w:rPr>
      </w:pPr>
      <w:r w:rsidRPr="00051C53">
        <w:rPr>
          <w:rFonts w:cs="Arial"/>
        </w:rPr>
        <w:t>Teilt die GSI dem Bewerber / Bieter mit, seiner Rüge nicht abhelfen zu wollen so besteht die Möglichkeit, innerhalb von 15 Tagen nach Eingang der Mitteilung einen Antrag auf Nachprüfung bei der o.g. Vergabekammer zu stellen (§</w:t>
      </w:r>
      <w:r>
        <w:rPr>
          <w:rFonts w:cs="Arial"/>
        </w:rPr>
        <w:t xml:space="preserve"> 160 Abs. 3 Satz 1 Nr. 4 GWB). </w:t>
      </w:r>
    </w:p>
    <w:p w14:paraId="5E353D86" w14:textId="77777777" w:rsidR="00051C53" w:rsidRPr="00051C53" w:rsidRDefault="00051C53" w:rsidP="00051C53">
      <w:pPr>
        <w:tabs>
          <w:tab w:val="left" w:pos="7371"/>
        </w:tabs>
        <w:rPr>
          <w:rFonts w:cs="Arial"/>
        </w:rPr>
      </w:pPr>
      <w:r w:rsidRPr="00051C53">
        <w:rPr>
          <w:rFonts w:cs="Arial"/>
        </w:rPr>
        <w:t>Bieter, deren Angebote für den Zuschlag nicht berücksichtigt werden sollen, werden vor dem Zuschlag gemäß § 134 GWB darüber informiert. Ein Vertrag darf erst 15 Kalendertrage nach Absendung dieser Information durch die GSI geschlossen werden. Bei Übermittlung per Fax oder auf elektronischem Wege beträgt diese Frist zehn Kalendertage. Sie beginnt am Tag nach Absendung der Information durch die GSI. Nach Ablauf dieser Frist ist ein Zuschlag möglich, auch wenn eine Frist nach § 160 Abs. 3 GWB noch nicht verstrichen sein sollte. Ein Nachprüfungsantrag müsste daher zur Verhinderung eines Zuschlags vor Ablauf der Frist nach § 134 GWB der GSI durch die Vergab</w:t>
      </w:r>
      <w:r>
        <w:rPr>
          <w:rFonts w:cs="Arial"/>
        </w:rPr>
        <w:t>ekammer zugestellt worden sein.</w:t>
      </w:r>
    </w:p>
    <w:p w14:paraId="3B862635" w14:textId="77777777" w:rsidR="00051C53" w:rsidRDefault="00051C53" w:rsidP="00051C53">
      <w:pPr>
        <w:tabs>
          <w:tab w:val="left" w:pos="7371"/>
        </w:tabs>
        <w:rPr>
          <w:rFonts w:cs="Arial"/>
        </w:rPr>
      </w:pPr>
      <w:r w:rsidRPr="00051C53">
        <w:rPr>
          <w:rFonts w:cs="Arial"/>
        </w:rPr>
        <w:t xml:space="preserve">Die Unwirksamkeit einer Beauftragung kann gemäß § 135 Abs. 1 und 2 GWB nur festgestellt werden, wenn sie im Nachprüfungsverfahren innerhalb von 30 Kalendertagen ab Information über den Vertragsabschluss, jedoch nicht später als sechs Monate nach Vertragsschluss geltend gemacht </w:t>
      </w:r>
      <w:r w:rsidRPr="00051C53">
        <w:rPr>
          <w:rFonts w:cs="Arial"/>
        </w:rPr>
        <w:lastRenderedPageBreak/>
        <w:t>worden ist. Hat der Auftraggeber die Vergabe im Amtsblatt der Europäischen Union bekannt gemacht, endet die Frist zur Geltendmachung der Unwirksamkeit 30 Kalendertage nach Veröffentlichung der Bekanntmachung der Vergabe im Amtsblatt der Europäischen Union.</w:t>
      </w:r>
    </w:p>
    <w:p w14:paraId="247481A4" w14:textId="77777777" w:rsidR="00051C53" w:rsidRPr="00051C53" w:rsidRDefault="00051C53" w:rsidP="00051C53">
      <w:pPr>
        <w:spacing w:after="120"/>
        <w:rPr>
          <w:rFonts w:cs="Arial"/>
        </w:rPr>
      </w:pPr>
    </w:p>
    <w:p w14:paraId="249E47DF" w14:textId="77777777" w:rsidR="00051C53" w:rsidRPr="00051C53" w:rsidRDefault="00051C53" w:rsidP="00051C53">
      <w:pPr>
        <w:tabs>
          <w:tab w:val="left" w:pos="7371"/>
        </w:tabs>
        <w:rPr>
          <w:rFonts w:cs="Arial"/>
          <w:u w:val="single"/>
        </w:rPr>
      </w:pPr>
      <w:r w:rsidRPr="00051C53">
        <w:rPr>
          <w:rFonts w:cs="Arial"/>
          <w:u w:val="single"/>
        </w:rPr>
        <w:t>Die Bewerber werden auf den rechtlichen Bedeutungsgehalt des § 160 Abs. 3 GWB hingewiesen, Abs. 3 GWB, insbesondere dessen Nr. 4:</w:t>
      </w:r>
    </w:p>
    <w:p w14:paraId="673800F0" w14:textId="77777777" w:rsidR="00051C53" w:rsidRPr="00051C53" w:rsidRDefault="00051C53" w:rsidP="00051C53">
      <w:pPr>
        <w:tabs>
          <w:tab w:val="left" w:pos="7371"/>
        </w:tabs>
        <w:rPr>
          <w:rFonts w:cs="Arial"/>
        </w:rPr>
      </w:pPr>
      <w:r w:rsidRPr="00051C53">
        <w:rPr>
          <w:rFonts w:cs="Arial"/>
        </w:rPr>
        <w:t>(1) Die Vergabekammer leitet ein Nachprüfun</w:t>
      </w:r>
      <w:r>
        <w:rPr>
          <w:rFonts w:cs="Arial"/>
        </w:rPr>
        <w:t>gsverfahren nur auf Antrag ein.</w:t>
      </w:r>
    </w:p>
    <w:p w14:paraId="6A88E99A" w14:textId="77777777" w:rsidR="00051C53" w:rsidRPr="00051C53" w:rsidRDefault="00051C53" w:rsidP="00051C53">
      <w:pPr>
        <w:tabs>
          <w:tab w:val="left" w:pos="7371"/>
        </w:tabs>
        <w:rPr>
          <w:rFonts w:cs="Arial"/>
        </w:rPr>
      </w:pPr>
      <w:r w:rsidRPr="00051C53">
        <w:rPr>
          <w:rFonts w:cs="Arial"/>
        </w:rPr>
        <w:t>(2) Antragsbefugt ist jedes Unternehmen, das ein Interesse an dem öffentlichen Auftrag oder der Konzession hat und eine Verletzung in seinen Rechten nach § 97 Absatz 6 durch Nichtbeachtung von Vergabevorschriften geltend macht. Dabei ist darzulegen, dass dem Unternehmen durch die behauptete Verletzung der Vergabevorschriften ein Schaden entstand</w:t>
      </w:r>
      <w:r>
        <w:rPr>
          <w:rFonts w:cs="Arial"/>
        </w:rPr>
        <w:t>en ist oder zu entstehen droht.</w:t>
      </w:r>
    </w:p>
    <w:p w14:paraId="2176A0CC" w14:textId="77777777" w:rsidR="00051C53" w:rsidRPr="00051C53" w:rsidRDefault="00051C53" w:rsidP="00051C53">
      <w:pPr>
        <w:tabs>
          <w:tab w:val="left" w:pos="7371"/>
        </w:tabs>
        <w:rPr>
          <w:rFonts w:cs="Arial"/>
        </w:rPr>
      </w:pPr>
      <w:r w:rsidRPr="00051C53">
        <w:rPr>
          <w:rFonts w:cs="Arial"/>
        </w:rPr>
        <w:t>(3) De</w:t>
      </w:r>
      <w:r>
        <w:rPr>
          <w:rFonts w:cs="Arial"/>
        </w:rPr>
        <w:t>r Antrag ist unzulässig, soweit</w:t>
      </w:r>
    </w:p>
    <w:p w14:paraId="5F038282" w14:textId="77777777" w:rsidR="00051C53" w:rsidRPr="00051C53" w:rsidRDefault="00051C53" w:rsidP="00051C53">
      <w:pPr>
        <w:tabs>
          <w:tab w:val="left" w:pos="7371"/>
        </w:tabs>
        <w:rPr>
          <w:rFonts w:cs="Arial"/>
        </w:rPr>
      </w:pPr>
      <w:r w:rsidRPr="00051C53">
        <w:rPr>
          <w:rFonts w:cs="Arial"/>
        </w:rPr>
        <w:t>1. der Antragsteller den geltend gemachten Verstoß gegen Vergabevorschriften vor Einreichen des Nachprüfungsantrags erkannt und gegenüber dem Auftraggeber nicht innerhalb einer Frist von zehn Kalendertagen gerügt hat; der Ablauf der Frist nach § 134 Absatz</w:t>
      </w:r>
      <w:r>
        <w:rPr>
          <w:rFonts w:cs="Arial"/>
        </w:rPr>
        <w:t xml:space="preserve"> 2 bleibt unberührt,</w:t>
      </w:r>
    </w:p>
    <w:p w14:paraId="24B28B3F" w14:textId="77777777" w:rsidR="00051C53" w:rsidRPr="00051C53" w:rsidRDefault="00051C53" w:rsidP="00051C53">
      <w:pPr>
        <w:tabs>
          <w:tab w:val="left" w:pos="7371"/>
        </w:tabs>
        <w:rPr>
          <w:rFonts w:cs="Arial"/>
        </w:rPr>
      </w:pPr>
      <w:r w:rsidRPr="00051C53">
        <w:rPr>
          <w:rFonts w:cs="Arial"/>
        </w:rPr>
        <w:t>2. Verstöße gegen Vergabevorschriften, die aufgrund der Bekanntmachung erkennbar sind, nicht spätestens bis zum Ablauf der in der Bekanntmachung benannten Frist zur Bewerbung oder zur Angebotsabgabe gegenüber dem Auftraggeber gerügt w</w:t>
      </w:r>
      <w:r>
        <w:rPr>
          <w:rFonts w:cs="Arial"/>
        </w:rPr>
        <w:t>erden,</w:t>
      </w:r>
    </w:p>
    <w:p w14:paraId="7094B771" w14:textId="77777777" w:rsidR="00051C53" w:rsidRPr="00051C53" w:rsidRDefault="00051C53" w:rsidP="00051C53">
      <w:pPr>
        <w:tabs>
          <w:tab w:val="left" w:pos="7371"/>
        </w:tabs>
        <w:rPr>
          <w:rFonts w:cs="Arial"/>
        </w:rPr>
      </w:pPr>
      <w:r w:rsidRPr="00051C53">
        <w:rPr>
          <w:rFonts w:cs="Arial"/>
        </w:rPr>
        <w:t xml:space="preserve">3. Verstöße gegen Vergabevorschriften, die erst in den Vergabeunterlagen erkennbar sind, nicht spätestens bis zum Ablauf der Frist zur Bewerbung oder zur Angebotsabgabe gegenüber </w:t>
      </w:r>
      <w:r>
        <w:rPr>
          <w:rFonts w:cs="Arial"/>
        </w:rPr>
        <w:t>dem Auftraggeber gerügt werden,</w:t>
      </w:r>
    </w:p>
    <w:p w14:paraId="144E55CD" w14:textId="77777777" w:rsidR="00051C53" w:rsidRPr="00051C53" w:rsidRDefault="00051C53" w:rsidP="00051C53">
      <w:pPr>
        <w:tabs>
          <w:tab w:val="left" w:pos="7371"/>
        </w:tabs>
        <w:rPr>
          <w:rFonts w:cs="Arial"/>
        </w:rPr>
      </w:pPr>
      <w:r w:rsidRPr="00051C53">
        <w:rPr>
          <w:rFonts w:cs="Arial"/>
        </w:rPr>
        <w:t>4. mehr als 15 Kalendertage nach Eingang der Mitteilung des Auftraggebers, einer Rüge nicht abhe</w:t>
      </w:r>
      <w:r>
        <w:rPr>
          <w:rFonts w:cs="Arial"/>
        </w:rPr>
        <w:t>lfen zu wollen, vergangen sind.</w:t>
      </w:r>
    </w:p>
    <w:p w14:paraId="1C3E54BE" w14:textId="77777777" w:rsidR="0080105F" w:rsidRPr="00051C53" w:rsidRDefault="00051C53" w:rsidP="00051C53">
      <w:pPr>
        <w:tabs>
          <w:tab w:val="left" w:pos="7371"/>
        </w:tabs>
        <w:rPr>
          <w:rFonts w:cs="Arial"/>
        </w:rPr>
      </w:pPr>
      <w:r w:rsidRPr="00051C53">
        <w:rPr>
          <w:rFonts w:cs="Arial"/>
        </w:rPr>
        <w:t>Satz 1 gilt nicht bei einem Antrag auf Feststellung der Unwirksamkeit des Vertrags nach § 135 Absatz 1 Nummer 2. § 134 Absatz 1 Satz 2 bleibt unberührt.</w:t>
      </w:r>
    </w:p>
    <w:sectPr w:rsidR="0080105F" w:rsidRPr="00051C53" w:rsidSect="00C33C7E">
      <w:headerReference w:type="default" r:id="rId9"/>
      <w:footerReference w:type="default" r:id="rId10"/>
      <w:headerReference w:type="first" r:id="rId11"/>
      <w:footerReference w:type="first" r:id="rId12"/>
      <w:pgSz w:w="11906" w:h="16838" w:code="9"/>
      <w:pgMar w:top="567" w:right="1841" w:bottom="1134" w:left="1191" w:header="68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0D43E" w14:textId="77777777" w:rsidR="00762759" w:rsidRDefault="00762759" w:rsidP="00026166">
      <w:r>
        <w:separator/>
      </w:r>
    </w:p>
  </w:endnote>
  <w:endnote w:type="continuationSeparator" w:id="0">
    <w:p w14:paraId="47A9BA58" w14:textId="77777777" w:rsidR="00762759" w:rsidRDefault="00762759" w:rsidP="0002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AC2A08" w:rsidRPr="009A02E3" w14:paraId="2BF2543E" w14:textId="77777777" w:rsidTr="00AC2A08">
      <w:tc>
        <w:tcPr>
          <w:tcW w:w="2522" w:type="dxa"/>
        </w:tcPr>
        <w:p w14:paraId="0EF75AE6"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p>
        <w:p w14:paraId="4266E187"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2</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2</w:t>
          </w:r>
          <w:r w:rsidRPr="009A02E3">
            <w:rPr>
              <w:rFonts w:ascii="Calibri" w:eastAsia="Times New Roman" w:hAnsi="Calibri" w:cs="Times New Roman"/>
              <w:sz w:val="18"/>
              <w:szCs w:val="18"/>
              <w:lang w:eastAsia="de-DE"/>
            </w:rPr>
            <w:fldChar w:fldCharType="end"/>
          </w:r>
        </w:p>
      </w:tc>
      <w:tc>
        <w:tcPr>
          <w:tcW w:w="4957" w:type="dxa"/>
        </w:tcPr>
        <w:p w14:paraId="7FE6C5D1" w14:textId="77777777" w:rsidR="00AC2A08" w:rsidRPr="009A02E3" w:rsidRDefault="00AC2A08" w:rsidP="009A02E3">
          <w:pPr>
            <w:tabs>
              <w:tab w:val="center" w:pos="4536"/>
              <w:tab w:val="right" w:pos="9072"/>
            </w:tabs>
            <w:jc w:val="center"/>
            <w:rPr>
              <w:rFonts w:ascii="Calibri" w:eastAsia="Times New Roman" w:hAnsi="Calibri" w:cs="Times New Roman"/>
              <w:sz w:val="18"/>
              <w:szCs w:val="18"/>
              <w:lang w:eastAsia="de-DE"/>
            </w:rPr>
          </w:pPr>
        </w:p>
        <w:p w14:paraId="533FD198" w14:textId="101A6D49" w:rsidR="00AC2A08" w:rsidRPr="009A02E3" w:rsidRDefault="00EB2567" w:rsidP="00DA0E35">
          <w:pPr>
            <w:tabs>
              <w:tab w:val="center" w:pos="4536"/>
              <w:tab w:val="right" w:pos="9072"/>
            </w:tabs>
            <w:rPr>
              <w:rFonts w:ascii="Calibri" w:eastAsia="Times New Roman" w:hAnsi="Calibri" w:cs="Times New Roman"/>
              <w:sz w:val="18"/>
              <w:szCs w:val="18"/>
              <w:lang w:eastAsia="de-DE"/>
            </w:rPr>
          </w:pPr>
          <w:r>
            <w:rPr>
              <w:rFonts w:ascii="Calibri" w:eastAsia="Times New Roman" w:hAnsi="Calibri" w:cs="Times New Roman"/>
              <w:sz w:val="18"/>
              <w:szCs w:val="18"/>
              <w:lang w:eastAsia="de-DE"/>
            </w:rPr>
            <w:t>80/R</w:t>
          </w:r>
          <w:r w:rsidRPr="00EB2567">
            <w:rPr>
              <w:rFonts w:ascii="Calibri" w:eastAsia="Times New Roman" w:hAnsi="Calibri" w:cs="Times New Roman"/>
              <w:sz w:val="18"/>
              <w:szCs w:val="18"/>
              <w:lang w:eastAsia="de-DE"/>
            </w:rPr>
            <w:t>V-Magnetbandkassetten_2026</w:t>
          </w:r>
        </w:p>
      </w:tc>
      <w:tc>
        <w:tcPr>
          <w:tcW w:w="2127" w:type="dxa"/>
        </w:tcPr>
        <w:p w14:paraId="525898FF" w14:textId="77777777" w:rsidR="00AC2A08" w:rsidRPr="009A02E3" w:rsidRDefault="00AC2A08" w:rsidP="009A02E3">
          <w:pPr>
            <w:tabs>
              <w:tab w:val="center" w:pos="4536"/>
              <w:tab w:val="right" w:pos="9072"/>
            </w:tabs>
            <w:ind w:right="-108"/>
            <w:jc w:val="right"/>
            <w:rPr>
              <w:rFonts w:ascii="Calibri" w:eastAsia="Times New Roman" w:hAnsi="Calibri" w:cs="Times New Roman"/>
              <w:sz w:val="18"/>
              <w:szCs w:val="18"/>
              <w:lang w:eastAsia="de-DE"/>
            </w:rPr>
          </w:pPr>
          <w:r w:rsidRPr="009A02E3">
            <w:rPr>
              <w:rFonts w:ascii="Arial" w:eastAsia="Times New Roman" w:hAnsi="Arial" w:cs="Times New Roman"/>
              <w:noProof/>
              <w:szCs w:val="20"/>
              <w:lang w:eastAsia="de-DE"/>
            </w:rPr>
            <w:drawing>
              <wp:inline distT="0" distB="0" distL="0" distR="0" wp14:anchorId="13CA303C" wp14:editId="4EA93BF2">
                <wp:extent cx="1159200" cy="424800"/>
                <wp:effectExtent l="0" t="0" r="3175" b="0"/>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G_LOGO_4C_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9200" cy="424800"/>
                        </a:xfrm>
                        <a:prstGeom prst="rect">
                          <a:avLst/>
                        </a:prstGeom>
                      </pic:spPr>
                    </pic:pic>
                  </a:graphicData>
                </a:graphic>
              </wp:inline>
            </w:drawing>
          </w:r>
        </w:p>
      </w:tc>
    </w:tr>
  </w:tbl>
  <w:p w14:paraId="0A968DB1" w14:textId="77777777" w:rsidR="00AC2A08" w:rsidRDefault="00AC2A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AC2A08" w:rsidRPr="009A02E3" w14:paraId="6CCA499D" w14:textId="77777777" w:rsidTr="00AC2A08">
      <w:tc>
        <w:tcPr>
          <w:tcW w:w="2522" w:type="dxa"/>
        </w:tcPr>
        <w:p w14:paraId="77EB7091"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p>
        <w:p w14:paraId="1E4A626A"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1</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2</w:t>
          </w:r>
          <w:r w:rsidRPr="009A02E3">
            <w:rPr>
              <w:rFonts w:ascii="Calibri" w:eastAsia="Times New Roman" w:hAnsi="Calibri" w:cs="Times New Roman"/>
              <w:sz w:val="18"/>
              <w:szCs w:val="18"/>
              <w:lang w:eastAsia="de-DE"/>
            </w:rPr>
            <w:fldChar w:fldCharType="end"/>
          </w:r>
        </w:p>
      </w:tc>
      <w:tc>
        <w:tcPr>
          <w:tcW w:w="4957" w:type="dxa"/>
        </w:tcPr>
        <w:p w14:paraId="26AE3A2D" w14:textId="77777777" w:rsidR="00AC2A08" w:rsidRPr="009A02E3" w:rsidRDefault="00AC2A08" w:rsidP="009A02E3">
          <w:pPr>
            <w:tabs>
              <w:tab w:val="center" w:pos="4536"/>
              <w:tab w:val="right" w:pos="9072"/>
            </w:tabs>
            <w:jc w:val="center"/>
            <w:rPr>
              <w:rFonts w:ascii="Calibri" w:eastAsia="Times New Roman" w:hAnsi="Calibri" w:cs="Times New Roman"/>
              <w:sz w:val="18"/>
              <w:szCs w:val="18"/>
              <w:lang w:eastAsia="de-DE"/>
            </w:rPr>
          </w:pPr>
        </w:p>
        <w:p w14:paraId="04FA96A2" w14:textId="2A3A5034" w:rsidR="00AC2A08" w:rsidRPr="009A02E3" w:rsidRDefault="0063471A" w:rsidP="009A02E3">
          <w:pPr>
            <w:tabs>
              <w:tab w:val="center" w:pos="4536"/>
              <w:tab w:val="right" w:pos="9072"/>
            </w:tabs>
            <w:rPr>
              <w:rFonts w:ascii="Calibri" w:eastAsia="Times New Roman" w:hAnsi="Calibri" w:cs="Times New Roman"/>
              <w:sz w:val="18"/>
              <w:szCs w:val="18"/>
              <w:lang w:eastAsia="de-DE"/>
            </w:rPr>
          </w:pPr>
          <w:r>
            <w:rPr>
              <w:rFonts w:ascii="Calibri" w:eastAsia="Times New Roman" w:hAnsi="Calibri" w:cs="Times New Roman"/>
              <w:sz w:val="18"/>
              <w:szCs w:val="18"/>
              <w:lang w:eastAsia="de-DE"/>
            </w:rPr>
            <w:t>8</w:t>
          </w:r>
          <w:r w:rsidR="00DA0E35">
            <w:rPr>
              <w:rFonts w:ascii="Calibri" w:eastAsia="Times New Roman" w:hAnsi="Calibri" w:cs="Times New Roman"/>
              <w:sz w:val="18"/>
              <w:szCs w:val="18"/>
              <w:lang w:eastAsia="de-DE"/>
            </w:rPr>
            <w:t>0</w:t>
          </w:r>
          <w:r w:rsidR="005B74EA">
            <w:rPr>
              <w:rFonts w:ascii="Calibri" w:eastAsia="Times New Roman" w:hAnsi="Calibri" w:cs="Times New Roman"/>
              <w:sz w:val="18"/>
              <w:szCs w:val="18"/>
              <w:lang w:eastAsia="de-DE"/>
            </w:rPr>
            <w:t>F</w:t>
          </w:r>
          <w:r w:rsidR="00C33C7E">
            <w:rPr>
              <w:rFonts w:ascii="Calibri" w:eastAsia="Times New Roman" w:hAnsi="Calibri" w:cs="Times New Roman"/>
              <w:sz w:val="18"/>
              <w:szCs w:val="18"/>
              <w:lang w:eastAsia="de-DE"/>
            </w:rPr>
            <w:t>F</w:t>
          </w:r>
          <w:r>
            <w:rPr>
              <w:rFonts w:ascii="Calibri" w:eastAsia="Times New Roman" w:hAnsi="Calibri" w:cs="Times New Roman"/>
              <w:sz w:val="18"/>
              <w:szCs w:val="18"/>
              <w:lang w:eastAsia="de-DE"/>
            </w:rPr>
            <w:t>/</w:t>
          </w:r>
          <w:r w:rsidR="00EB2567" w:rsidRPr="00EB2567">
            <w:rPr>
              <w:rFonts w:ascii="Calibri" w:eastAsia="Times New Roman" w:hAnsi="Calibri" w:cs="Times New Roman"/>
              <w:sz w:val="18"/>
              <w:szCs w:val="18"/>
              <w:lang w:eastAsia="de-DE"/>
            </w:rPr>
            <w:t>26</w:t>
          </w:r>
          <w:r w:rsidR="005B74EA">
            <w:rPr>
              <w:rFonts w:ascii="Calibri" w:eastAsia="Times New Roman" w:hAnsi="Calibri" w:cs="Times New Roman"/>
              <w:sz w:val="18"/>
              <w:szCs w:val="18"/>
              <w:lang w:eastAsia="de-DE"/>
            </w:rPr>
            <w:t>00036013 EUV-Targets</w:t>
          </w:r>
        </w:p>
        <w:p w14:paraId="1C7186DE"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p>
      </w:tc>
      <w:tc>
        <w:tcPr>
          <w:tcW w:w="2127" w:type="dxa"/>
        </w:tcPr>
        <w:p w14:paraId="4A4FA719" w14:textId="77777777" w:rsidR="00AC2A08" w:rsidRPr="009A02E3" w:rsidRDefault="00AC2A08" w:rsidP="009A02E3">
          <w:pPr>
            <w:tabs>
              <w:tab w:val="center" w:pos="4536"/>
              <w:tab w:val="right" w:pos="9072"/>
            </w:tabs>
            <w:ind w:right="-108"/>
            <w:jc w:val="right"/>
            <w:rPr>
              <w:rFonts w:ascii="Calibri" w:eastAsia="Times New Roman" w:hAnsi="Calibri" w:cs="Times New Roman"/>
              <w:sz w:val="18"/>
              <w:szCs w:val="18"/>
              <w:lang w:eastAsia="de-DE"/>
            </w:rPr>
          </w:pPr>
          <w:r w:rsidRPr="009A02E3">
            <w:rPr>
              <w:rFonts w:ascii="Arial" w:eastAsia="Times New Roman" w:hAnsi="Arial" w:cs="Times New Roman"/>
              <w:noProof/>
              <w:szCs w:val="20"/>
              <w:lang w:eastAsia="de-DE"/>
            </w:rPr>
            <w:drawing>
              <wp:inline distT="0" distB="0" distL="0" distR="0" wp14:anchorId="762840F7" wp14:editId="01512B5C">
                <wp:extent cx="1159200" cy="424800"/>
                <wp:effectExtent l="0" t="0" r="3175" b="0"/>
                <wp:docPr id="45"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G_LOGO_4C_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9200" cy="424800"/>
                        </a:xfrm>
                        <a:prstGeom prst="rect">
                          <a:avLst/>
                        </a:prstGeom>
                      </pic:spPr>
                    </pic:pic>
                  </a:graphicData>
                </a:graphic>
              </wp:inline>
            </w:drawing>
          </w:r>
        </w:p>
      </w:tc>
    </w:tr>
  </w:tbl>
  <w:p w14:paraId="2776FC94" w14:textId="0E3D6DD7" w:rsidR="00AC2A08" w:rsidRDefault="00AC2A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CA80" w14:textId="77777777" w:rsidR="00762759" w:rsidRDefault="00762759" w:rsidP="00026166">
      <w:r>
        <w:separator/>
      </w:r>
    </w:p>
  </w:footnote>
  <w:footnote w:type="continuationSeparator" w:id="0">
    <w:p w14:paraId="36CC296F" w14:textId="77777777" w:rsidR="00762759" w:rsidRDefault="00762759" w:rsidP="0002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AC2A08" w14:paraId="1E8B5663" w14:textId="77777777" w:rsidTr="006147AF">
      <w:trPr>
        <w:trHeight w:hRule="exact" w:val="2041"/>
      </w:trPr>
      <w:tc>
        <w:tcPr>
          <w:tcW w:w="7433" w:type="dxa"/>
        </w:tcPr>
        <w:p w14:paraId="273640C6" w14:textId="77777777" w:rsidR="00AC2A08" w:rsidRDefault="00AC2A08" w:rsidP="006147AF">
          <w:pPr>
            <w:pStyle w:val="Kopfzeile"/>
          </w:pPr>
          <w:r>
            <w:rPr>
              <w:noProof/>
              <w:lang w:eastAsia="de-DE"/>
            </w:rPr>
            <w:drawing>
              <wp:inline distT="0" distB="0" distL="0" distR="0" wp14:anchorId="3A967A32" wp14:editId="39DAA3C9">
                <wp:extent cx="1441450" cy="457200"/>
                <wp:effectExtent l="0" t="0" r="6350" b="0"/>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75FAC24" w14:textId="77777777" w:rsidR="00AC2A08" w:rsidRPr="00803044" w:rsidRDefault="00AC2A08" w:rsidP="006147AF">
          <w:pPr>
            <w:pStyle w:val="GSIAdr"/>
            <w:rPr>
              <w:b/>
              <w:bCs/>
            </w:rPr>
          </w:pPr>
          <w:r w:rsidRPr="00803044">
            <w:rPr>
              <w:b/>
              <w:bCs/>
            </w:rPr>
            <w:t>GSI Helmholtzzentrum für</w:t>
          </w:r>
        </w:p>
        <w:p w14:paraId="5C5BD477" w14:textId="77777777" w:rsidR="00AC2A08" w:rsidRPr="00803044" w:rsidRDefault="00AC2A08" w:rsidP="006147AF">
          <w:pPr>
            <w:pStyle w:val="Kopfzeile"/>
            <w:spacing w:after="100" w:line="200" w:lineRule="atLeast"/>
            <w:ind w:left="284"/>
            <w:rPr>
              <w:b/>
              <w:bCs/>
              <w:sz w:val="16"/>
              <w:szCs w:val="16"/>
            </w:rPr>
          </w:pPr>
          <w:r w:rsidRPr="00803044">
            <w:rPr>
              <w:b/>
              <w:bCs/>
              <w:sz w:val="16"/>
              <w:szCs w:val="16"/>
            </w:rPr>
            <w:t>Schwerionenforschung GmbH</w:t>
          </w:r>
        </w:p>
        <w:p w14:paraId="49F2CEF1" w14:textId="77777777" w:rsidR="00AC2A08" w:rsidRPr="00F170DD" w:rsidRDefault="00AC2A08" w:rsidP="006147AF">
          <w:pPr>
            <w:pStyle w:val="Kopfzeile"/>
            <w:spacing w:line="200" w:lineRule="atLeast"/>
            <w:ind w:left="284"/>
            <w:rPr>
              <w:sz w:val="16"/>
              <w:szCs w:val="16"/>
            </w:rPr>
          </w:pPr>
          <w:r w:rsidRPr="00F170DD">
            <w:rPr>
              <w:sz w:val="16"/>
              <w:szCs w:val="16"/>
            </w:rPr>
            <w:t>Planckstraße 1</w:t>
          </w:r>
        </w:p>
        <w:p w14:paraId="02F9DB1B" w14:textId="77777777" w:rsidR="00AC2A08" w:rsidRPr="00F170DD" w:rsidRDefault="00AC2A08" w:rsidP="006147AF">
          <w:pPr>
            <w:pStyle w:val="Kopfzeile"/>
            <w:spacing w:after="100" w:line="200" w:lineRule="atLeast"/>
            <w:ind w:left="284"/>
            <w:rPr>
              <w:sz w:val="16"/>
              <w:szCs w:val="16"/>
            </w:rPr>
          </w:pPr>
          <w:r w:rsidRPr="00F170DD">
            <w:rPr>
              <w:sz w:val="16"/>
              <w:szCs w:val="16"/>
            </w:rPr>
            <w:t>64291 Darmstadt</w:t>
          </w:r>
        </w:p>
        <w:p w14:paraId="46574F55" w14:textId="77777777" w:rsidR="00AC2A08" w:rsidRDefault="00AC2A08" w:rsidP="006147AF">
          <w:pPr>
            <w:pStyle w:val="Kopfzeile"/>
            <w:spacing w:line="200" w:lineRule="atLeast"/>
            <w:ind w:left="284"/>
          </w:pPr>
          <w:r w:rsidRPr="00F170DD">
            <w:rPr>
              <w:sz w:val="16"/>
              <w:szCs w:val="16"/>
            </w:rPr>
            <w:t>www.gsi.de</w:t>
          </w:r>
        </w:p>
      </w:tc>
    </w:tr>
  </w:tbl>
  <w:p w14:paraId="627DCAA9" w14:textId="77777777" w:rsidR="00AC2A08" w:rsidRPr="00A53F17" w:rsidRDefault="00AC2A08"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AC2A08" w14:paraId="1D99ECEC" w14:textId="77777777" w:rsidTr="00026166">
      <w:trPr>
        <w:trHeight w:hRule="exact" w:val="2041"/>
      </w:trPr>
      <w:tc>
        <w:tcPr>
          <w:tcW w:w="7433" w:type="dxa"/>
        </w:tcPr>
        <w:p w14:paraId="74E325D0" w14:textId="77777777" w:rsidR="00AC2A08" w:rsidRDefault="00AC2A08">
          <w:pPr>
            <w:pStyle w:val="Kopfzeile"/>
          </w:pPr>
          <w:r>
            <w:rPr>
              <w:noProof/>
              <w:lang w:eastAsia="de-DE"/>
            </w:rPr>
            <w:drawing>
              <wp:inline distT="0" distB="0" distL="0" distR="0" wp14:anchorId="4D6D9E10" wp14:editId="01559BEA">
                <wp:extent cx="1441450" cy="457200"/>
                <wp:effectExtent l="0" t="0" r="6350" b="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p w14:paraId="492EA53B" w14:textId="77777777" w:rsidR="00AC2A08" w:rsidRDefault="00AC2A08">
          <w:pPr>
            <w:pStyle w:val="Kopfzeile"/>
          </w:pPr>
        </w:p>
        <w:p w14:paraId="1D85AE43" w14:textId="77777777" w:rsidR="00AC2A08" w:rsidRDefault="00AC2A08">
          <w:pPr>
            <w:pStyle w:val="Kopfzeile"/>
          </w:pPr>
        </w:p>
        <w:p w14:paraId="2C7B1469" w14:textId="77777777" w:rsidR="00AC2A08" w:rsidRDefault="00AC2A08">
          <w:pPr>
            <w:pStyle w:val="Kopfzeile"/>
          </w:pPr>
        </w:p>
        <w:p w14:paraId="08CAD258" w14:textId="77777777" w:rsidR="00AC2A08" w:rsidRDefault="00AC2A08">
          <w:pPr>
            <w:pStyle w:val="Kopfzeile"/>
          </w:pPr>
        </w:p>
        <w:p w14:paraId="67F43768" w14:textId="77777777" w:rsidR="00AC2A08" w:rsidRPr="002E3546" w:rsidRDefault="00AC2A08" w:rsidP="001212A8">
          <w:pPr>
            <w:pStyle w:val="Kopfzeile"/>
            <w:rPr>
              <w:i/>
              <w:sz w:val="16"/>
              <w:szCs w:val="16"/>
            </w:rPr>
          </w:pPr>
          <w:r w:rsidRPr="007231C1">
            <w:rPr>
              <w:i/>
              <w:sz w:val="16"/>
              <w:szCs w:val="16"/>
            </w:rPr>
            <w:t>Zum Verbleib beim Bieter bestimmt, nicht mit dem Angebot zurückgeben!</w:t>
          </w:r>
        </w:p>
      </w:tc>
      <w:tc>
        <w:tcPr>
          <w:tcW w:w="3107" w:type="dxa"/>
        </w:tcPr>
        <w:p w14:paraId="1EFE8EE3" w14:textId="77777777" w:rsidR="00AC2A08" w:rsidRPr="00803044" w:rsidRDefault="00AC2A08" w:rsidP="00803044">
          <w:pPr>
            <w:pStyle w:val="GSIAdr"/>
            <w:rPr>
              <w:b/>
              <w:bCs/>
            </w:rPr>
          </w:pPr>
          <w:r w:rsidRPr="00803044">
            <w:rPr>
              <w:b/>
              <w:bCs/>
            </w:rPr>
            <w:t>GSI Helmholtzzentrum für</w:t>
          </w:r>
        </w:p>
        <w:p w14:paraId="26BC68D7" w14:textId="77777777" w:rsidR="00AC2A08" w:rsidRPr="00803044" w:rsidRDefault="00AC2A08" w:rsidP="00F170DD">
          <w:pPr>
            <w:pStyle w:val="Kopfzeile"/>
            <w:spacing w:after="100" w:line="200" w:lineRule="atLeast"/>
            <w:ind w:left="284"/>
            <w:rPr>
              <w:b/>
              <w:bCs/>
              <w:sz w:val="16"/>
              <w:szCs w:val="16"/>
            </w:rPr>
          </w:pPr>
          <w:r w:rsidRPr="00803044">
            <w:rPr>
              <w:b/>
              <w:bCs/>
              <w:sz w:val="16"/>
              <w:szCs w:val="16"/>
            </w:rPr>
            <w:t>Schwerionenforschung GmbH</w:t>
          </w:r>
        </w:p>
        <w:p w14:paraId="250ED9CC" w14:textId="77777777" w:rsidR="00AC2A08" w:rsidRPr="00F170DD" w:rsidRDefault="00AC2A08" w:rsidP="00F170DD">
          <w:pPr>
            <w:pStyle w:val="Kopfzeile"/>
            <w:spacing w:line="200" w:lineRule="atLeast"/>
            <w:ind w:left="284"/>
            <w:rPr>
              <w:sz w:val="16"/>
              <w:szCs w:val="16"/>
            </w:rPr>
          </w:pPr>
          <w:r w:rsidRPr="00F170DD">
            <w:rPr>
              <w:sz w:val="16"/>
              <w:szCs w:val="16"/>
            </w:rPr>
            <w:t>Planckstraße 1</w:t>
          </w:r>
        </w:p>
        <w:p w14:paraId="45C62AD8" w14:textId="77777777" w:rsidR="00AC2A08" w:rsidRPr="00F170DD" w:rsidRDefault="00AC2A08" w:rsidP="00F170DD">
          <w:pPr>
            <w:pStyle w:val="Kopfzeile"/>
            <w:spacing w:after="100" w:line="200" w:lineRule="atLeast"/>
            <w:ind w:left="284"/>
            <w:rPr>
              <w:sz w:val="16"/>
              <w:szCs w:val="16"/>
            </w:rPr>
          </w:pPr>
          <w:r w:rsidRPr="00F170DD">
            <w:rPr>
              <w:sz w:val="16"/>
              <w:szCs w:val="16"/>
            </w:rPr>
            <w:t>64291 Darmstadt</w:t>
          </w:r>
        </w:p>
        <w:p w14:paraId="5E668219" w14:textId="77777777" w:rsidR="00AC2A08" w:rsidRDefault="00AC2A08" w:rsidP="00F170DD">
          <w:pPr>
            <w:pStyle w:val="Kopfzeile"/>
            <w:spacing w:line="200" w:lineRule="atLeast"/>
            <w:ind w:left="284"/>
          </w:pPr>
          <w:r w:rsidRPr="00F170DD">
            <w:rPr>
              <w:sz w:val="16"/>
              <w:szCs w:val="16"/>
            </w:rPr>
            <w:t>www.gsi.de</w:t>
          </w:r>
        </w:p>
      </w:tc>
    </w:tr>
  </w:tbl>
  <w:p w14:paraId="3522EC88" w14:textId="349F0E01" w:rsidR="00AC2A08" w:rsidRPr="00F170DD" w:rsidRDefault="00AC2A08"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3396B"/>
    <w:multiLevelType w:val="multilevel"/>
    <w:tmpl w:val="0407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EF32089"/>
    <w:multiLevelType w:val="hybridMultilevel"/>
    <w:tmpl w:val="CFA440D4"/>
    <w:lvl w:ilvl="0" w:tplc="7E9A5DB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2B2D75"/>
    <w:multiLevelType w:val="hybridMultilevel"/>
    <w:tmpl w:val="376C7202"/>
    <w:lvl w:ilvl="0" w:tplc="6966FB2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34F6B0E"/>
    <w:multiLevelType w:val="hybridMultilevel"/>
    <w:tmpl w:val="79367AF4"/>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0" w15:restartNumberingAfterBreak="0">
    <w:nsid w:val="279A6762"/>
    <w:multiLevelType w:val="hybridMultilevel"/>
    <w:tmpl w:val="D8D4FDCA"/>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E035C04"/>
    <w:multiLevelType w:val="hybridMultilevel"/>
    <w:tmpl w:val="B6D0F6E6"/>
    <w:lvl w:ilvl="0" w:tplc="E0E65A5A">
      <w:numFmt w:val="bullet"/>
      <w:lvlText w:val="-"/>
      <w:lvlJc w:val="left"/>
      <w:pPr>
        <w:ind w:left="1496" w:hanging="360"/>
      </w:pPr>
      <w:rPr>
        <w:rFonts w:ascii="Calibri" w:eastAsia="Times New Roman" w:hAnsi="Calibri" w:hint="default"/>
      </w:rPr>
    </w:lvl>
    <w:lvl w:ilvl="1" w:tplc="04070003" w:tentative="1">
      <w:start w:val="1"/>
      <w:numFmt w:val="bullet"/>
      <w:lvlText w:val="o"/>
      <w:lvlJc w:val="left"/>
      <w:pPr>
        <w:ind w:left="2008" w:hanging="360"/>
      </w:pPr>
      <w:rPr>
        <w:rFonts w:ascii="Courier New" w:hAnsi="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3" w15:restartNumberingAfterBreak="0">
    <w:nsid w:val="2EF80C5E"/>
    <w:multiLevelType w:val="hybridMultilevel"/>
    <w:tmpl w:val="CBB68440"/>
    <w:lvl w:ilvl="0" w:tplc="E0E65A5A">
      <w:numFmt w:val="bullet"/>
      <w:lvlText w:val="-"/>
      <w:lvlJc w:val="left"/>
      <w:pPr>
        <w:ind w:left="928" w:hanging="360"/>
      </w:pPr>
      <w:rPr>
        <w:rFonts w:ascii="Calibri" w:eastAsia="Times New Roman" w:hAnsi="Calibri"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1246832"/>
    <w:multiLevelType w:val="hybridMultilevel"/>
    <w:tmpl w:val="2996E1FA"/>
    <w:lvl w:ilvl="0" w:tplc="0407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6" w15:restartNumberingAfterBreak="0">
    <w:nsid w:val="48EB32FD"/>
    <w:multiLevelType w:val="hybridMultilevel"/>
    <w:tmpl w:val="8FD0B2D0"/>
    <w:lvl w:ilvl="0" w:tplc="99F028F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0AE6AB0"/>
    <w:multiLevelType w:val="hybridMultilevel"/>
    <w:tmpl w:val="578629F6"/>
    <w:lvl w:ilvl="0" w:tplc="14E62158">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9" w15:restartNumberingAfterBreak="0">
    <w:nsid w:val="68F72069"/>
    <w:multiLevelType w:val="multilevel"/>
    <w:tmpl w:val="486A64A2"/>
    <w:lvl w:ilvl="0">
      <w:start w:val="1"/>
      <w:numFmt w:val="decimal"/>
      <w:lvlText w:val="%1"/>
      <w:lvlJc w:val="left"/>
      <w:pPr>
        <w:tabs>
          <w:tab w:val="num" w:pos="350"/>
        </w:tabs>
        <w:ind w:left="350" w:hanging="350"/>
      </w:pPr>
      <w:rPr>
        <w:rFonts w:ascii="Arial Fett" w:hAnsi="Arial Fett" w:hint="default"/>
        <w:b/>
        <w:i w:val="0"/>
        <w:sz w:val="22"/>
        <w:szCs w:val="22"/>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3"/>
        </w:tabs>
        <w:ind w:left="1923" w:hanging="1214"/>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20" w15:restartNumberingAfterBreak="0">
    <w:nsid w:val="755919A2"/>
    <w:multiLevelType w:val="hybridMultilevel"/>
    <w:tmpl w:val="CEAE6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11"/>
  </w:num>
  <w:num w:numId="3">
    <w:abstractNumId w:val="4"/>
  </w:num>
  <w:num w:numId="4">
    <w:abstractNumId w:val="3"/>
  </w:num>
  <w:num w:numId="5">
    <w:abstractNumId w:val="2"/>
  </w:num>
  <w:num w:numId="6">
    <w:abstractNumId w:val="1"/>
  </w:num>
  <w:num w:numId="7">
    <w:abstractNumId w:val="0"/>
  </w:num>
  <w:num w:numId="8">
    <w:abstractNumId w:val="18"/>
  </w:num>
  <w:num w:numId="9">
    <w:abstractNumId w:val="13"/>
  </w:num>
  <w:num w:numId="10">
    <w:abstractNumId w:val="10"/>
  </w:num>
  <w:num w:numId="11">
    <w:abstractNumId w:val="12"/>
  </w:num>
  <w:num w:numId="12">
    <w:abstractNumId w:val="14"/>
  </w:num>
  <w:num w:numId="13">
    <w:abstractNumId w:val="19"/>
  </w:num>
  <w:num w:numId="14">
    <w:abstractNumId w:val="8"/>
  </w:num>
  <w:num w:numId="15">
    <w:abstractNumId w:val="7"/>
  </w:num>
  <w:num w:numId="16">
    <w:abstractNumId w:val="9"/>
  </w:num>
  <w:num w:numId="17">
    <w:abstractNumId w:val="6"/>
  </w:num>
  <w:num w:numId="18">
    <w:abstractNumId w:val="5"/>
  </w:num>
  <w:num w:numId="19">
    <w:abstractNumId w:val="20"/>
  </w:num>
  <w:num w:numId="20">
    <w:abstractNumId w:val="1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vPb7cw5LYCP9FAqVoOAlEfM58EdJE56hty9LgNrs2I6N87Q3wMfrkwNHhAsN0aa5kbH1qWOLsIx/cuoBrqZ1PQ==" w:salt="LDIszel2KVMOs8gVGvgLmw=="/>
  <w:defaultTabStop w:val="709"/>
  <w:autoHyphenation/>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05F"/>
    <w:rsid w:val="00006954"/>
    <w:rsid w:val="0001088F"/>
    <w:rsid w:val="00026166"/>
    <w:rsid w:val="00051C53"/>
    <w:rsid w:val="000602C6"/>
    <w:rsid w:val="000639FB"/>
    <w:rsid w:val="000644E5"/>
    <w:rsid w:val="000824F4"/>
    <w:rsid w:val="0008383A"/>
    <w:rsid w:val="000C3259"/>
    <w:rsid w:val="000C6E5C"/>
    <w:rsid w:val="000D54B6"/>
    <w:rsid w:val="000E3A52"/>
    <w:rsid w:val="000E6772"/>
    <w:rsid w:val="000F1568"/>
    <w:rsid w:val="000F7F0D"/>
    <w:rsid w:val="00102015"/>
    <w:rsid w:val="001212A8"/>
    <w:rsid w:val="00123706"/>
    <w:rsid w:val="00135BD8"/>
    <w:rsid w:val="001366BE"/>
    <w:rsid w:val="00142ADC"/>
    <w:rsid w:val="00144BFA"/>
    <w:rsid w:val="00166830"/>
    <w:rsid w:val="0017098C"/>
    <w:rsid w:val="001772F9"/>
    <w:rsid w:val="00180007"/>
    <w:rsid w:val="00192C61"/>
    <w:rsid w:val="00195932"/>
    <w:rsid w:val="001D42BF"/>
    <w:rsid w:val="001D5FEC"/>
    <w:rsid w:val="00235E88"/>
    <w:rsid w:val="00237E82"/>
    <w:rsid w:val="00250F83"/>
    <w:rsid w:val="00251585"/>
    <w:rsid w:val="00277BC9"/>
    <w:rsid w:val="00281350"/>
    <w:rsid w:val="00291169"/>
    <w:rsid w:val="002A079C"/>
    <w:rsid w:val="002A33EC"/>
    <w:rsid w:val="002B377B"/>
    <w:rsid w:val="002C48E7"/>
    <w:rsid w:val="002D3444"/>
    <w:rsid w:val="002E0BA6"/>
    <w:rsid w:val="002E33FC"/>
    <w:rsid w:val="002E3546"/>
    <w:rsid w:val="002E46A6"/>
    <w:rsid w:val="002F0C0D"/>
    <w:rsid w:val="00302CEA"/>
    <w:rsid w:val="003057B8"/>
    <w:rsid w:val="0031027E"/>
    <w:rsid w:val="00331AEC"/>
    <w:rsid w:val="00334ACD"/>
    <w:rsid w:val="00343E95"/>
    <w:rsid w:val="00374371"/>
    <w:rsid w:val="003C2EBD"/>
    <w:rsid w:val="003D6C5E"/>
    <w:rsid w:val="003E1F3A"/>
    <w:rsid w:val="003E5807"/>
    <w:rsid w:val="003F5AE9"/>
    <w:rsid w:val="004104F0"/>
    <w:rsid w:val="00412423"/>
    <w:rsid w:val="004234D8"/>
    <w:rsid w:val="00425140"/>
    <w:rsid w:val="00425DCA"/>
    <w:rsid w:val="00425ECF"/>
    <w:rsid w:val="004312A3"/>
    <w:rsid w:val="00435BA3"/>
    <w:rsid w:val="004407D5"/>
    <w:rsid w:val="00447B97"/>
    <w:rsid w:val="004502B2"/>
    <w:rsid w:val="00463D59"/>
    <w:rsid w:val="00464261"/>
    <w:rsid w:val="004871D9"/>
    <w:rsid w:val="0049155A"/>
    <w:rsid w:val="004A300A"/>
    <w:rsid w:val="004E1D32"/>
    <w:rsid w:val="004E2FAA"/>
    <w:rsid w:val="004F27F7"/>
    <w:rsid w:val="0050204D"/>
    <w:rsid w:val="00521EA1"/>
    <w:rsid w:val="00531B5A"/>
    <w:rsid w:val="005403D1"/>
    <w:rsid w:val="005449F6"/>
    <w:rsid w:val="005501B0"/>
    <w:rsid w:val="00550314"/>
    <w:rsid w:val="005559FD"/>
    <w:rsid w:val="00585BF5"/>
    <w:rsid w:val="00585CBB"/>
    <w:rsid w:val="005867D9"/>
    <w:rsid w:val="005B74EA"/>
    <w:rsid w:val="005C5EA9"/>
    <w:rsid w:val="005E5E05"/>
    <w:rsid w:val="005E6F72"/>
    <w:rsid w:val="005E7201"/>
    <w:rsid w:val="005F5081"/>
    <w:rsid w:val="00604EBF"/>
    <w:rsid w:val="006147AF"/>
    <w:rsid w:val="0063471A"/>
    <w:rsid w:val="006566E5"/>
    <w:rsid w:val="006647F3"/>
    <w:rsid w:val="006705A7"/>
    <w:rsid w:val="006744F4"/>
    <w:rsid w:val="00674C5D"/>
    <w:rsid w:val="00676BCA"/>
    <w:rsid w:val="00684CFF"/>
    <w:rsid w:val="006875A4"/>
    <w:rsid w:val="00693B9D"/>
    <w:rsid w:val="006D369D"/>
    <w:rsid w:val="006D54D5"/>
    <w:rsid w:val="006E018E"/>
    <w:rsid w:val="006E4437"/>
    <w:rsid w:val="00703762"/>
    <w:rsid w:val="00710AFD"/>
    <w:rsid w:val="007231C1"/>
    <w:rsid w:val="0072341E"/>
    <w:rsid w:val="00762759"/>
    <w:rsid w:val="007753E8"/>
    <w:rsid w:val="00787289"/>
    <w:rsid w:val="00797664"/>
    <w:rsid w:val="007A3DB0"/>
    <w:rsid w:val="007B5F2D"/>
    <w:rsid w:val="007D6ED1"/>
    <w:rsid w:val="0080105F"/>
    <w:rsid w:val="00803044"/>
    <w:rsid w:val="00807EE9"/>
    <w:rsid w:val="008152B0"/>
    <w:rsid w:val="008336E3"/>
    <w:rsid w:val="0083729C"/>
    <w:rsid w:val="008522CB"/>
    <w:rsid w:val="00876C29"/>
    <w:rsid w:val="008B0D4C"/>
    <w:rsid w:val="008B590D"/>
    <w:rsid w:val="008C3A20"/>
    <w:rsid w:val="008D4C86"/>
    <w:rsid w:val="008E5F37"/>
    <w:rsid w:val="008F3E55"/>
    <w:rsid w:val="0090324A"/>
    <w:rsid w:val="00903BA1"/>
    <w:rsid w:val="009057D0"/>
    <w:rsid w:val="00931FEF"/>
    <w:rsid w:val="00937BE9"/>
    <w:rsid w:val="0096010F"/>
    <w:rsid w:val="00960F4F"/>
    <w:rsid w:val="00962975"/>
    <w:rsid w:val="00982531"/>
    <w:rsid w:val="00985401"/>
    <w:rsid w:val="00987A20"/>
    <w:rsid w:val="009A02E3"/>
    <w:rsid w:val="009A4198"/>
    <w:rsid w:val="009B7604"/>
    <w:rsid w:val="009C5CDA"/>
    <w:rsid w:val="009E15C9"/>
    <w:rsid w:val="009E4B29"/>
    <w:rsid w:val="00A27F45"/>
    <w:rsid w:val="00A53F17"/>
    <w:rsid w:val="00A73D7E"/>
    <w:rsid w:val="00A81D2E"/>
    <w:rsid w:val="00A8400D"/>
    <w:rsid w:val="00A872E6"/>
    <w:rsid w:val="00AB0710"/>
    <w:rsid w:val="00AB4082"/>
    <w:rsid w:val="00AC2A08"/>
    <w:rsid w:val="00B00EB2"/>
    <w:rsid w:val="00B26492"/>
    <w:rsid w:val="00B26547"/>
    <w:rsid w:val="00B3116F"/>
    <w:rsid w:val="00B36D37"/>
    <w:rsid w:val="00B4166E"/>
    <w:rsid w:val="00B652AB"/>
    <w:rsid w:val="00B93EB2"/>
    <w:rsid w:val="00BD1B8A"/>
    <w:rsid w:val="00BF1BA3"/>
    <w:rsid w:val="00C05B16"/>
    <w:rsid w:val="00C14E03"/>
    <w:rsid w:val="00C21592"/>
    <w:rsid w:val="00C23FA9"/>
    <w:rsid w:val="00C24A7D"/>
    <w:rsid w:val="00C26A0C"/>
    <w:rsid w:val="00C33C7E"/>
    <w:rsid w:val="00C4014F"/>
    <w:rsid w:val="00C56967"/>
    <w:rsid w:val="00C577C5"/>
    <w:rsid w:val="00C627BD"/>
    <w:rsid w:val="00C654BB"/>
    <w:rsid w:val="00C80798"/>
    <w:rsid w:val="00C84DB5"/>
    <w:rsid w:val="00C95900"/>
    <w:rsid w:val="00CB0499"/>
    <w:rsid w:val="00CB296D"/>
    <w:rsid w:val="00CB36E0"/>
    <w:rsid w:val="00CD6BCB"/>
    <w:rsid w:val="00CE4FDB"/>
    <w:rsid w:val="00D001A3"/>
    <w:rsid w:val="00D00450"/>
    <w:rsid w:val="00D0599D"/>
    <w:rsid w:val="00D059EF"/>
    <w:rsid w:val="00D113A0"/>
    <w:rsid w:val="00D3116F"/>
    <w:rsid w:val="00D4681A"/>
    <w:rsid w:val="00D541F3"/>
    <w:rsid w:val="00D7375D"/>
    <w:rsid w:val="00D92589"/>
    <w:rsid w:val="00DA0E35"/>
    <w:rsid w:val="00DA1401"/>
    <w:rsid w:val="00DA4C94"/>
    <w:rsid w:val="00DA6B47"/>
    <w:rsid w:val="00DC12E3"/>
    <w:rsid w:val="00DD57E2"/>
    <w:rsid w:val="00DD6129"/>
    <w:rsid w:val="00DD72D7"/>
    <w:rsid w:val="00DE5536"/>
    <w:rsid w:val="00E21500"/>
    <w:rsid w:val="00E34056"/>
    <w:rsid w:val="00E430DD"/>
    <w:rsid w:val="00E61003"/>
    <w:rsid w:val="00E6351B"/>
    <w:rsid w:val="00E66E11"/>
    <w:rsid w:val="00E77391"/>
    <w:rsid w:val="00E77CCF"/>
    <w:rsid w:val="00E93D64"/>
    <w:rsid w:val="00E94187"/>
    <w:rsid w:val="00EA1FEB"/>
    <w:rsid w:val="00EB2567"/>
    <w:rsid w:val="00EB56B9"/>
    <w:rsid w:val="00EF5CF2"/>
    <w:rsid w:val="00F056D6"/>
    <w:rsid w:val="00F170DD"/>
    <w:rsid w:val="00F237E5"/>
    <w:rsid w:val="00F23E24"/>
    <w:rsid w:val="00F278C7"/>
    <w:rsid w:val="00F27F07"/>
    <w:rsid w:val="00F31972"/>
    <w:rsid w:val="00F545F2"/>
    <w:rsid w:val="00F62479"/>
    <w:rsid w:val="00F65DB3"/>
    <w:rsid w:val="00F90714"/>
    <w:rsid w:val="00F94847"/>
    <w:rsid w:val="00FA011E"/>
    <w:rsid w:val="00FA4C0C"/>
    <w:rsid w:val="00FA7BB8"/>
    <w:rsid w:val="00FB6A00"/>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0DCDCD1"/>
  <w15:docId w15:val="{871DF2F8-BB70-4AD4-A54C-9494CF527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uiPriority w:val="99"/>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8"/>
      </w:numPr>
      <w:spacing w:before="120" w:after="120"/>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360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ndeskartellamt.de/SharedDocs/Kontaktdaten/DE/Vergabekammer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ABB4C-6B78-42D8-8A1E-1C9408654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4206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Schmidt, Jana</dc:creator>
  <cp:lastModifiedBy>Storch, Arzu</cp:lastModifiedBy>
  <cp:revision>12</cp:revision>
  <cp:lastPrinted>2016-04-06T09:15:00Z</cp:lastPrinted>
  <dcterms:created xsi:type="dcterms:W3CDTF">2023-07-18T06:21:00Z</dcterms:created>
  <dcterms:modified xsi:type="dcterms:W3CDTF">2026-05-06T07:31:00Z</dcterms:modified>
</cp:coreProperties>
</file>