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E88C7" w14:textId="67570638" w:rsidR="001836B0" w:rsidRPr="00052F5D" w:rsidRDefault="001836B0" w:rsidP="004C3656">
      <w:pPr>
        <w:rPr>
          <w:b/>
          <w:bCs/>
          <w:u w:val="single"/>
        </w:rPr>
      </w:pPr>
      <w:r w:rsidRPr="00052F5D">
        <w:rPr>
          <w:b/>
          <w:bCs/>
          <w:u w:val="single"/>
        </w:rPr>
        <w:t>Spezifikation:</w:t>
      </w:r>
    </w:p>
    <w:p w14:paraId="523AFDB2" w14:textId="15B4310A" w:rsidR="00052F5D" w:rsidRDefault="00052F5D" w:rsidP="00052F5D">
      <w:r>
        <w:t>Wir benötigen ein</w:t>
      </w:r>
      <w:r w:rsidR="00390742">
        <w:t>e</w:t>
      </w:r>
      <w:r>
        <w:t xml:space="preserve"> Mikrowaage</w:t>
      </w:r>
      <w:r w:rsidR="00657668" w:rsidRPr="00657668">
        <w:t xml:space="preserve"> XPR2U</w:t>
      </w:r>
      <w:r w:rsidR="00657668">
        <w:t xml:space="preserve"> von Mettler</w:t>
      </w:r>
      <w:r>
        <w:t>, die sowohl sehr kleine Proben, als auch großflächige dünne Proben (</w:t>
      </w:r>
      <w:proofErr w:type="spellStart"/>
      <w:r>
        <w:t>Targetschichten</w:t>
      </w:r>
      <w:proofErr w:type="spellEnd"/>
      <w:r>
        <w:t>) mit hoher Präzision messen kann.</w:t>
      </w:r>
      <w:r w:rsidRPr="00052F5D">
        <w:t xml:space="preserve"> </w:t>
      </w:r>
      <w:r>
        <w:t>Eine Ablesbarkeit des Probengewichts auf 0,1 µm ist notwendig bei hoher Wiederholbarkeit von ~ 0,15 µg.</w:t>
      </w:r>
    </w:p>
    <w:p w14:paraId="234D4D9C" w14:textId="77ADB8B7" w:rsidR="00052F5D" w:rsidRDefault="00052F5D" w:rsidP="00052F5D">
      <w:r>
        <w:t>Um auch großflächige Folien genau messen zu können, muss die Waage einen Probenteller von mindestens 25 mm Durchmesser haben.</w:t>
      </w:r>
    </w:p>
    <w:p w14:paraId="3A862184" w14:textId="23BAEAF3" w:rsidR="00390742" w:rsidRDefault="00390742" w:rsidP="00052F5D">
      <w:r>
        <w:t xml:space="preserve">Um auch im feinsten </w:t>
      </w:r>
      <w:proofErr w:type="spellStart"/>
      <w:r>
        <w:t>Wägebereich</w:t>
      </w:r>
      <w:proofErr w:type="spellEnd"/>
      <w:r>
        <w:t xml:space="preserve"> schnelle Ergebnisse erzielen zu können, ist eine berührungsfreie Bedienung der </w:t>
      </w:r>
      <w:r w:rsidR="00462FC2">
        <w:t>wichtigsten Bedien</w:t>
      </w:r>
      <w:r>
        <w:t xml:space="preserve">funktionen, sowie ein geeigneter Windschutz der </w:t>
      </w:r>
      <w:proofErr w:type="spellStart"/>
      <w:r>
        <w:t>Wägezelle</w:t>
      </w:r>
      <w:proofErr w:type="spellEnd"/>
      <w:r>
        <w:t xml:space="preserve"> notwendig.</w:t>
      </w:r>
    </w:p>
    <w:p w14:paraId="291A34F9" w14:textId="498D579D" w:rsidR="00390742" w:rsidRPr="004C3656" w:rsidRDefault="00390742" w:rsidP="00052F5D">
      <w:r>
        <w:t xml:space="preserve">Die Mikrowaage muss möglichst kompakt sein, damit auf dem vorhandenen </w:t>
      </w:r>
      <w:proofErr w:type="spellStart"/>
      <w:r>
        <w:t>Wägetisch</w:t>
      </w:r>
      <w:proofErr w:type="spellEnd"/>
      <w:r>
        <w:t xml:space="preserve"> eine gute Zugänglichkeit des Probenraums gewährleistet ist.</w:t>
      </w:r>
    </w:p>
    <w:p w14:paraId="003F564C" w14:textId="5AB537A2" w:rsidR="00052F5D" w:rsidRPr="004C3656" w:rsidRDefault="00052F5D" w:rsidP="00052F5D">
      <w:r>
        <w:t xml:space="preserve">Die Waage muss </w:t>
      </w:r>
      <w:r w:rsidR="00657668">
        <w:t xml:space="preserve">in der Lage sein, </w:t>
      </w:r>
      <w:r>
        <w:t xml:space="preserve">mit </w:t>
      </w:r>
      <w:r w:rsidR="00A1344E">
        <w:t xml:space="preserve">der Software </w:t>
      </w:r>
      <w:proofErr w:type="spellStart"/>
      <w:r w:rsidR="00A1344E">
        <w:t>LabX</w:t>
      </w:r>
      <w:proofErr w:type="spellEnd"/>
      <w:r w:rsidR="00A1344E">
        <w:t xml:space="preserve"> von Mettler</w:t>
      </w:r>
      <w:r>
        <w:t xml:space="preserve"> </w:t>
      </w:r>
      <w:r w:rsidR="00657668">
        <w:t>zu arbeiten</w:t>
      </w:r>
      <w:r>
        <w:t xml:space="preserve">, </w:t>
      </w:r>
      <w:r w:rsidR="00A1344E">
        <w:t>damit eine Vernetzung mit den schon vorhandenen Waagen möglich ist</w:t>
      </w:r>
    </w:p>
    <w:p w14:paraId="77B8391D" w14:textId="18F3993B" w:rsidR="001836B0" w:rsidRDefault="00052F5D" w:rsidP="004C3656">
      <w:r>
        <w:t xml:space="preserve">Zusätzlich wird ein kompatibler Drucker </w:t>
      </w:r>
      <w:r w:rsidR="00390742">
        <w:t>zur direkten Dokumentation benötigt, der mit aktuellen Schnittstellen ausgestattet sein sollte.</w:t>
      </w:r>
    </w:p>
    <w:p w14:paraId="31B4424D" w14:textId="3596C7AC" w:rsidR="00AA2E55" w:rsidRPr="00094B17" w:rsidRDefault="00AA2E55" w:rsidP="004C3656">
      <w:pPr>
        <w:rPr>
          <w:lang w:val="en-US"/>
        </w:rPr>
      </w:pPr>
      <w:r>
        <w:t xml:space="preserve">Waage mit Zubehör müssen vor Ort im </w:t>
      </w:r>
      <w:proofErr w:type="spellStart"/>
      <w:r>
        <w:t>Targetlabor</w:t>
      </w:r>
      <w:proofErr w:type="spellEnd"/>
      <w:r>
        <w:t xml:space="preserve"> der GSI in Betrieb genommen werden. </w:t>
      </w:r>
      <w:r w:rsidRPr="00094B17">
        <w:rPr>
          <w:lang w:val="en-US"/>
        </w:rPr>
        <w:t xml:space="preserve">Die </w:t>
      </w:r>
      <w:proofErr w:type="spellStart"/>
      <w:r w:rsidRPr="00094B17">
        <w:rPr>
          <w:lang w:val="en-US"/>
        </w:rPr>
        <w:t>Inbetriebnahme</w:t>
      </w:r>
      <w:proofErr w:type="spellEnd"/>
      <w:r w:rsidRPr="00094B17">
        <w:rPr>
          <w:lang w:val="en-US"/>
        </w:rPr>
        <w:t xml:space="preserve"> muss </w:t>
      </w:r>
      <w:proofErr w:type="spellStart"/>
      <w:r w:rsidRPr="00094B17">
        <w:rPr>
          <w:lang w:val="en-US"/>
        </w:rPr>
        <w:t>im</w:t>
      </w:r>
      <w:proofErr w:type="spellEnd"/>
      <w:r w:rsidRPr="00094B17">
        <w:rPr>
          <w:lang w:val="en-US"/>
        </w:rPr>
        <w:t xml:space="preserve"> </w:t>
      </w:r>
      <w:proofErr w:type="spellStart"/>
      <w:r w:rsidRPr="00094B17">
        <w:rPr>
          <w:lang w:val="en-US"/>
        </w:rPr>
        <w:t>Angebot</w:t>
      </w:r>
      <w:proofErr w:type="spellEnd"/>
      <w:r w:rsidRPr="00094B17">
        <w:rPr>
          <w:lang w:val="en-US"/>
        </w:rPr>
        <w:t xml:space="preserve"> </w:t>
      </w:r>
      <w:proofErr w:type="spellStart"/>
      <w:r w:rsidRPr="00094B17">
        <w:rPr>
          <w:lang w:val="en-US"/>
        </w:rPr>
        <w:t>enthalten</w:t>
      </w:r>
      <w:proofErr w:type="spellEnd"/>
      <w:r w:rsidRPr="00094B17">
        <w:rPr>
          <w:lang w:val="en-US"/>
        </w:rPr>
        <w:t xml:space="preserve"> sein.</w:t>
      </w:r>
    </w:p>
    <w:p w14:paraId="23EED23D" w14:textId="77777777" w:rsidR="0036359D" w:rsidRPr="00094B17" w:rsidRDefault="0036359D" w:rsidP="004C3656">
      <w:pPr>
        <w:rPr>
          <w:lang w:val="en-US"/>
        </w:rPr>
      </w:pPr>
    </w:p>
    <w:p w14:paraId="6956D02C" w14:textId="77777777" w:rsidR="0036359D" w:rsidRPr="00094B17" w:rsidRDefault="0036359D" w:rsidP="004C3656">
      <w:pPr>
        <w:rPr>
          <w:lang w:val="en-US"/>
        </w:rPr>
      </w:pPr>
    </w:p>
    <w:p w14:paraId="47849AB8" w14:textId="77777777" w:rsidR="0036359D" w:rsidRPr="003B437B" w:rsidRDefault="0036359D" w:rsidP="0036359D">
      <w:pPr>
        <w:rPr>
          <w:b/>
          <w:bCs/>
          <w:u w:val="single"/>
        </w:rPr>
      </w:pPr>
      <w:r w:rsidRPr="003B437B">
        <w:rPr>
          <w:b/>
          <w:bCs/>
          <w:u w:val="single"/>
        </w:rPr>
        <w:t>Specifications:</w:t>
      </w:r>
    </w:p>
    <w:p w14:paraId="45306234" w14:textId="77777777" w:rsidR="0036359D" w:rsidRPr="00094B17" w:rsidRDefault="0036359D" w:rsidP="0036359D">
      <w:pPr>
        <w:rPr>
          <w:lang w:val="en-US"/>
        </w:rPr>
      </w:pPr>
      <w:r w:rsidRPr="00094B17">
        <w:rPr>
          <w:lang w:val="en-US"/>
        </w:rPr>
        <w:t>We require a Mettler XPR2U microbalance capable of measuring both very small samples and large, thin samples (target layers) with high precision. The sample weight must be readable to 0.1 µm with high repeatability of ~0.15 µg.</w:t>
      </w:r>
    </w:p>
    <w:p w14:paraId="6C344B2A" w14:textId="77777777" w:rsidR="0036359D" w:rsidRPr="00094B17" w:rsidRDefault="0036359D" w:rsidP="0036359D">
      <w:pPr>
        <w:rPr>
          <w:lang w:val="en-US"/>
        </w:rPr>
      </w:pPr>
      <w:r w:rsidRPr="00094B17">
        <w:rPr>
          <w:lang w:val="en-US"/>
        </w:rPr>
        <w:t>To ensure accurate measurement of large-area films, the balance must have a sample pan with a diameter of at least 25 mm.</w:t>
      </w:r>
    </w:p>
    <w:p w14:paraId="2D348824" w14:textId="45C05346" w:rsidR="0036359D" w:rsidRPr="00094B17" w:rsidRDefault="0036359D" w:rsidP="0036359D">
      <w:pPr>
        <w:rPr>
          <w:lang w:val="en-US"/>
        </w:rPr>
      </w:pPr>
      <w:r w:rsidRPr="00094B17">
        <w:rPr>
          <w:lang w:val="en-US"/>
        </w:rPr>
        <w:t xml:space="preserve">To achieve fast results even in the most precise weighing range, contactless operation of the key functions and a suitable </w:t>
      </w:r>
      <w:r w:rsidR="00094B17">
        <w:rPr>
          <w:lang w:val="en-US"/>
        </w:rPr>
        <w:t>wind</w:t>
      </w:r>
      <w:r w:rsidR="00094B17" w:rsidRPr="00094B17">
        <w:rPr>
          <w:lang w:val="en-US"/>
        </w:rPr>
        <w:t xml:space="preserve"> </w:t>
      </w:r>
      <w:r w:rsidRPr="00094B17">
        <w:rPr>
          <w:lang w:val="en-US"/>
        </w:rPr>
        <w:t>shield for the load cell are necessary.</w:t>
      </w:r>
    </w:p>
    <w:p w14:paraId="5357868C" w14:textId="77777777" w:rsidR="0036359D" w:rsidRPr="00094B17" w:rsidRDefault="0036359D" w:rsidP="0036359D">
      <w:pPr>
        <w:rPr>
          <w:lang w:val="en-US"/>
        </w:rPr>
      </w:pPr>
      <w:r w:rsidRPr="00094B17">
        <w:rPr>
          <w:lang w:val="en-US"/>
        </w:rPr>
        <w:t>The microbalance must be as compact as possible to ensure good accessibility to the sample area on the existing weighing bench.</w:t>
      </w:r>
    </w:p>
    <w:p w14:paraId="5FD18EE9" w14:textId="77777777" w:rsidR="0036359D" w:rsidRPr="00094B17" w:rsidRDefault="0036359D" w:rsidP="0036359D">
      <w:pPr>
        <w:rPr>
          <w:lang w:val="en-US"/>
        </w:rPr>
      </w:pPr>
      <w:r w:rsidRPr="00094B17">
        <w:rPr>
          <w:lang w:val="en-US"/>
        </w:rPr>
        <w:t xml:space="preserve">The balance must be capable of working with Mettler’s </w:t>
      </w:r>
      <w:proofErr w:type="spellStart"/>
      <w:r w:rsidRPr="00094B17">
        <w:rPr>
          <w:lang w:val="en-US"/>
        </w:rPr>
        <w:t>LabX</w:t>
      </w:r>
      <w:proofErr w:type="spellEnd"/>
      <w:r w:rsidRPr="00094B17">
        <w:rPr>
          <w:lang w:val="en-US"/>
        </w:rPr>
        <w:t xml:space="preserve"> software to enable networking with the existing balances.</w:t>
      </w:r>
    </w:p>
    <w:p w14:paraId="0564699F" w14:textId="77777777" w:rsidR="0036359D" w:rsidRPr="00094B17" w:rsidRDefault="0036359D" w:rsidP="0036359D">
      <w:pPr>
        <w:rPr>
          <w:lang w:val="en-US"/>
        </w:rPr>
      </w:pPr>
      <w:r w:rsidRPr="00094B17">
        <w:rPr>
          <w:lang w:val="en-US"/>
        </w:rPr>
        <w:t>In addition, a compatible printer is required for direct documentation, which should be equipped with current interfaces.</w:t>
      </w:r>
    </w:p>
    <w:p w14:paraId="54A42051" w14:textId="7E47762C" w:rsidR="0036359D" w:rsidRDefault="0036359D" w:rsidP="0036359D">
      <w:r w:rsidRPr="00094B17">
        <w:rPr>
          <w:lang w:val="en-US"/>
        </w:rPr>
        <w:t xml:space="preserve">The balance and its accessories must be commissioned on-site at the GSI target laboratory. </w:t>
      </w:r>
      <w:proofErr w:type="spellStart"/>
      <w:r>
        <w:t>Commissioning</w:t>
      </w:r>
      <w:proofErr w:type="spellEnd"/>
      <w:r>
        <w:t xml:space="preserve"> </w:t>
      </w:r>
      <w:proofErr w:type="spellStart"/>
      <w:r>
        <w:t>must</w:t>
      </w:r>
      <w:proofErr w:type="spellEnd"/>
      <w:r>
        <w:t xml:space="preserve"> </w:t>
      </w:r>
      <w:proofErr w:type="spellStart"/>
      <w:r>
        <w:t>be</w:t>
      </w:r>
      <w:proofErr w:type="spellEnd"/>
      <w:r>
        <w:t xml:space="preserve"> </w:t>
      </w:r>
      <w:proofErr w:type="spellStart"/>
      <w:r>
        <w:t>included</w:t>
      </w:r>
      <w:proofErr w:type="spellEnd"/>
      <w:r>
        <w:t xml:space="preserve"> in </w:t>
      </w:r>
      <w:proofErr w:type="spellStart"/>
      <w:r>
        <w:t>the</w:t>
      </w:r>
      <w:proofErr w:type="spellEnd"/>
      <w:r>
        <w:t xml:space="preserve"> </w:t>
      </w:r>
      <w:proofErr w:type="spellStart"/>
      <w:r w:rsidR="00094B17">
        <w:t>offer</w:t>
      </w:r>
      <w:proofErr w:type="spellEnd"/>
      <w:r>
        <w:t>.</w:t>
      </w:r>
    </w:p>
    <w:sectPr w:rsidR="0036359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7CC06" w14:textId="77777777" w:rsidR="000E77C4" w:rsidRDefault="000E77C4" w:rsidP="000E77C4">
      <w:pPr>
        <w:spacing w:after="0"/>
      </w:pPr>
      <w:r>
        <w:separator/>
      </w:r>
    </w:p>
  </w:endnote>
  <w:endnote w:type="continuationSeparator" w:id="0">
    <w:p w14:paraId="320C081B" w14:textId="77777777" w:rsidR="000E77C4" w:rsidRDefault="000E77C4" w:rsidP="000E77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EE63C" w14:textId="77777777" w:rsidR="000E77C4" w:rsidRDefault="000E77C4" w:rsidP="000E77C4">
      <w:pPr>
        <w:spacing w:after="0"/>
      </w:pPr>
      <w:r>
        <w:separator/>
      </w:r>
    </w:p>
  </w:footnote>
  <w:footnote w:type="continuationSeparator" w:id="0">
    <w:p w14:paraId="4555B9C0" w14:textId="77777777" w:rsidR="000E77C4" w:rsidRDefault="000E77C4" w:rsidP="000E77C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num w:numId="1" w16cid:durableId="1537081872">
    <w:abstractNumId w:val="7"/>
  </w:num>
  <w:num w:numId="2" w16cid:durableId="1427730576">
    <w:abstractNumId w:val="5"/>
  </w:num>
  <w:num w:numId="3" w16cid:durableId="810559500">
    <w:abstractNumId w:val="4"/>
  </w:num>
  <w:num w:numId="4" w16cid:durableId="1130050395">
    <w:abstractNumId w:val="3"/>
  </w:num>
  <w:num w:numId="5" w16cid:durableId="1853644446">
    <w:abstractNumId w:val="2"/>
  </w:num>
  <w:num w:numId="6" w16cid:durableId="120341244">
    <w:abstractNumId w:val="1"/>
  </w:num>
  <w:num w:numId="7" w16cid:durableId="1854761622">
    <w:abstractNumId w:val="0"/>
  </w:num>
  <w:num w:numId="8" w16cid:durableId="5348064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readOnly" w:enforcement="1" w:cryptProviderType="rsaAES" w:cryptAlgorithmClass="hash" w:cryptAlgorithmType="typeAny" w:cryptAlgorithmSid="14" w:cryptSpinCount="100000" w:hash="s0Dr7RodxvO6Hxbu1jstAx0nAf3Vnmr1Y6yj0MHOpPZWHTVlqVCafgzY/7gmlDBeXhgeAREvl17eu8ks+uMMCw==" w:salt="6skymB0i/1/MEtiM6F+wFg=="/>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6B0"/>
    <w:rsid w:val="0002006B"/>
    <w:rsid w:val="00052F5D"/>
    <w:rsid w:val="00094B17"/>
    <w:rsid w:val="000B2FB9"/>
    <w:rsid w:val="000E77C4"/>
    <w:rsid w:val="00144091"/>
    <w:rsid w:val="00160F5E"/>
    <w:rsid w:val="00162F00"/>
    <w:rsid w:val="001836B0"/>
    <w:rsid w:val="001C17AB"/>
    <w:rsid w:val="0022283B"/>
    <w:rsid w:val="002261F8"/>
    <w:rsid w:val="0026014E"/>
    <w:rsid w:val="00291169"/>
    <w:rsid w:val="002C48E7"/>
    <w:rsid w:val="002D0EDE"/>
    <w:rsid w:val="0032717B"/>
    <w:rsid w:val="00337901"/>
    <w:rsid w:val="0036359D"/>
    <w:rsid w:val="00370A03"/>
    <w:rsid w:val="00390742"/>
    <w:rsid w:val="003B437B"/>
    <w:rsid w:val="004238AE"/>
    <w:rsid w:val="00462FC2"/>
    <w:rsid w:val="004C3656"/>
    <w:rsid w:val="004F5913"/>
    <w:rsid w:val="0050204D"/>
    <w:rsid w:val="00616F67"/>
    <w:rsid w:val="0063188F"/>
    <w:rsid w:val="00636A26"/>
    <w:rsid w:val="00657668"/>
    <w:rsid w:val="006C0161"/>
    <w:rsid w:val="006D6AB8"/>
    <w:rsid w:val="00703762"/>
    <w:rsid w:val="00720ACA"/>
    <w:rsid w:val="007D6ED1"/>
    <w:rsid w:val="007E0DBB"/>
    <w:rsid w:val="00857EDE"/>
    <w:rsid w:val="008C0955"/>
    <w:rsid w:val="008C32CB"/>
    <w:rsid w:val="008D49FE"/>
    <w:rsid w:val="008F49A8"/>
    <w:rsid w:val="009013DC"/>
    <w:rsid w:val="0090324A"/>
    <w:rsid w:val="009074C0"/>
    <w:rsid w:val="00943567"/>
    <w:rsid w:val="009E3A65"/>
    <w:rsid w:val="009E6587"/>
    <w:rsid w:val="00A1344E"/>
    <w:rsid w:val="00A47E15"/>
    <w:rsid w:val="00A872E6"/>
    <w:rsid w:val="00AA2E55"/>
    <w:rsid w:val="00AB0710"/>
    <w:rsid w:val="00B26547"/>
    <w:rsid w:val="00BA4B78"/>
    <w:rsid w:val="00BE1A1A"/>
    <w:rsid w:val="00BE6E78"/>
    <w:rsid w:val="00C26A0C"/>
    <w:rsid w:val="00C61273"/>
    <w:rsid w:val="00C627BD"/>
    <w:rsid w:val="00C654BB"/>
    <w:rsid w:val="00D44AC8"/>
    <w:rsid w:val="00D67F57"/>
    <w:rsid w:val="00DD485D"/>
    <w:rsid w:val="00DE652F"/>
    <w:rsid w:val="00E16925"/>
    <w:rsid w:val="00EF7432"/>
    <w:rsid w:val="00F24098"/>
    <w:rsid w:val="00FB312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4138C4C"/>
  <w15:chartTrackingRefBased/>
  <w15:docId w15:val="{C6A4F135-2F7B-4CAB-A5E0-9ACA32074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7EDE"/>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1836B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character" w:customStyle="1" w:styleId="berschrift9Zchn">
    <w:name w:val="Überschrift 9 Zchn"/>
    <w:basedOn w:val="Absatz-Standardschriftart"/>
    <w:link w:val="berschrift9"/>
    <w:uiPriority w:val="9"/>
    <w:semiHidden/>
    <w:rsid w:val="001836B0"/>
    <w:rPr>
      <w:rFonts w:eastAsiaTheme="majorEastAsia" w:cstheme="majorBidi"/>
      <w:color w:val="272727" w:themeColor="text1" w:themeTint="D8"/>
    </w:rPr>
  </w:style>
  <w:style w:type="paragraph" w:styleId="Titel">
    <w:name w:val="Title"/>
    <w:basedOn w:val="Standard"/>
    <w:next w:val="Standard"/>
    <w:link w:val="TitelZchn"/>
    <w:uiPriority w:val="1"/>
    <w:qFormat/>
    <w:rsid w:val="001836B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
    <w:rsid w:val="001836B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semiHidden/>
    <w:unhideWhenUsed/>
    <w:rsid w:val="001836B0"/>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semiHidden/>
    <w:rsid w:val="001836B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36B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1836B0"/>
    <w:rPr>
      <w:i/>
      <w:iCs/>
      <w:color w:val="404040" w:themeColor="text1" w:themeTint="BF"/>
    </w:rPr>
  </w:style>
  <w:style w:type="paragraph" w:styleId="Listenabsatz">
    <w:name w:val="List Paragraph"/>
    <w:basedOn w:val="Standard"/>
    <w:uiPriority w:val="34"/>
    <w:qFormat/>
    <w:rsid w:val="001836B0"/>
    <w:pPr>
      <w:ind w:left="720"/>
      <w:contextualSpacing/>
    </w:pPr>
  </w:style>
  <w:style w:type="character" w:styleId="IntensiveHervorhebung">
    <w:name w:val="Intense Emphasis"/>
    <w:basedOn w:val="Absatz-Standardschriftart"/>
    <w:uiPriority w:val="21"/>
    <w:rsid w:val="001836B0"/>
    <w:rPr>
      <w:i/>
      <w:iCs/>
      <w:color w:val="365F91" w:themeColor="accent1" w:themeShade="BF"/>
    </w:rPr>
  </w:style>
  <w:style w:type="paragraph" w:styleId="IntensivesZitat">
    <w:name w:val="Intense Quote"/>
    <w:basedOn w:val="Standard"/>
    <w:next w:val="Standard"/>
    <w:link w:val="IntensivesZitatZchn"/>
    <w:uiPriority w:val="30"/>
    <w:rsid w:val="001836B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1836B0"/>
    <w:rPr>
      <w:i/>
      <w:iCs/>
      <w:color w:val="365F91" w:themeColor="accent1" w:themeShade="BF"/>
    </w:rPr>
  </w:style>
  <w:style w:type="character" w:styleId="IntensiverVerweis">
    <w:name w:val="Intense Reference"/>
    <w:basedOn w:val="Absatz-Standardschriftart"/>
    <w:uiPriority w:val="32"/>
    <w:rsid w:val="001836B0"/>
    <w:rPr>
      <w:b/>
      <w:bCs/>
      <w:smallCaps/>
      <w:color w:val="365F91" w:themeColor="accent1" w:themeShade="BF"/>
      <w:spacing w:val="5"/>
    </w:rPr>
  </w:style>
  <w:style w:type="paragraph" w:styleId="Kopfzeile">
    <w:name w:val="header"/>
    <w:basedOn w:val="Standard"/>
    <w:link w:val="KopfzeileZchn"/>
    <w:uiPriority w:val="99"/>
    <w:unhideWhenUsed/>
    <w:rsid w:val="000E77C4"/>
    <w:pPr>
      <w:tabs>
        <w:tab w:val="center" w:pos="4536"/>
        <w:tab w:val="right" w:pos="9072"/>
      </w:tabs>
      <w:spacing w:after="0"/>
    </w:pPr>
  </w:style>
  <w:style w:type="character" w:customStyle="1" w:styleId="KopfzeileZchn">
    <w:name w:val="Kopfzeile Zchn"/>
    <w:basedOn w:val="Absatz-Standardschriftart"/>
    <w:link w:val="Kopfzeile"/>
    <w:uiPriority w:val="99"/>
    <w:rsid w:val="000E77C4"/>
  </w:style>
  <w:style w:type="paragraph" w:styleId="Fuzeile">
    <w:name w:val="footer"/>
    <w:basedOn w:val="Standard"/>
    <w:link w:val="FuzeileZchn"/>
    <w:uiPriority w:val="99"/>
    <w:unhideWhenUsed/>
    <w:rsid w:val="000E77C4"/>
    <w:pPr>
      <w:tabs>
        <w:tab w:val="center" w:pos="4536"/>
        <w:tab w:val="right" w:pos="9072"/>
      </w:tabs>
      <w:spacing w:after="0"/>
    </w:pPr>
  </w:style>
  <w:style w:type="character" w:customStyle="1" w:styleId="FuzeileZchn">
    <w:name w:val="Fußzeile Zchn"/>
    <w:basedOn w:val="Absatz-Standardschriftart"/>
    <w:link w:val="Fuzeile"/>
    <w:uiPriority w:val="99"/>
    <w:rsid w:val="000E77C4"/>
  </w:style>
  <w:style w:type="character" w:styleId="Kommentarzeichen">
    <w:name w:val="annotation reference"/>
    <w:basedOn w:val="Absatz-Standardschriftart"/>
    <w:uiPriority w:val="99"/>
    <w:semiHidden/>
    <w:unhideWhenUsed/>
    <w:rsid w:val="000E77C4"/>
    <w:rPr>
      <w:sz w:val="16"/>
      <w:szCs w:val="16"/>
    </w:rPr>
  </w:style>
  <w:style w:type="paragraph" w:styleId="Kommentartext">
    <w:name w:val="annotation text"/>
    <w:basedOn w:val="Standard"/>
    <w:link w:val="KommentartextZchn"/>
    <w:uiPriority w:val="99"/>
    <w:semiHidden/>
    <w:unhideWhenUsed/>
    <w:rsid w:val="000E77C4"/>
    <w:rPr>
      <w:sz w:val="20"/>
      <w:szCs w:val="20"/>
    </w:rPr>
  </w:style>
  <w:style w:type="character" w:customStyle="1" w:styleId="KommentartextZchn">
    <w:name w:val="Kommentartext Zchn"/>
    <w:basedOn w:val="Absatz-Standardschriftart"/>
    <w:link w:val="Kommentartext"/>
    <w:uiPriority w:val="99"/>
    <w:semiHidden/>
    <w:rsid w:val="000E77C4"/>
    <w:rPr>
      <w:sz w:val="20"/>
      <w:szCs w:val="20"/>
    </w:rPr>
  </w:style>
  <w:style w:type="paragraph" w:styleId="Kommentarthema">
    <w:name w:val="annotation subject"/>
    <w:basedOn w:val="Kommentartext"/>
    <w:next w:val="Kommentartext"/>
    <w:link w:val="KommentarthemaZchn"/>
    <w:uiPriority w:val="99"/>
    <w:semiHidden/>
    <w:unhideWhenUsed/>
    <w:rsid w:val="000E77C4"/>
    <w:rPr>
      <w:b/>
      <w:bCs/>
    </w:rPr>
  </w:style>
  <w:style w:type="character" w:customStyle="1" w:styleId="KommentarthemaZchn">
    <w:name w:val="Kommentarthema Zchn"/>
    <w:basedOn w:val="KommentartextZchn"/>
    <w:link w:val="Kommentarthema"/>
    <w:uiPriority w:val="99"/>
    <w:semiHidden/>
    <w:rsid w:val="000E77C4"/>
    <w:rPr>
      <w:b/>
      <w:bCs/>
      <w:sz w:val="20"/>
      <w:szCs w:val="20"/>
    </w:rPr>
  </w:style>
  <w:style w:type="paragraph" w:styleId="berarbeitung">
    <w:name w:val="Revision"/>
    <w:hidden/>
    <w:uiPriority w:val="99"/>
    <w:semiHidden/>
    <w:rsid w:val="00094B1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135057">
      <w:bodyDiv w:val="1"/>
      <w:marLeft w:val="0"/>
      <w:marRight w:val="0"/>
      <w:marTop w:val="0"/>
      <w:marBottom w:val="0"/>
      <w:divBdr>
        <w:top w:val="none" w:sz="0" w:space="0" w:color="auto"/>
        <w:left w:val="none" w:sz="0" w:space="0" w:color="auto"/>
        <w:bottom w:val="none" w:sz="0" w:space="0" w:color="auto"/>
        <w:right w:val="none" w:sz="0" w:space="0" w:color="auto"/>
      </w:divBdr>
      <w:divsChild>
        <w:div w:id="581137370">
          <w:marLeft w:val="0"/>
          <w:marRight w:val="0"/>
          <w:marTop w:val="0"/>
          <w:marBottom w:val="0"/>
          <w:divBdr>
            <w:top w:val="none" w:sz="0" w:space="0" w:color="auto"/>
            <w:left w:val="none" w:sz="0" w:space="0" w:color="auto"/>
            <w:bottom w:val="none" w:sz="0" w:space="0" w:color="auto"/>
            <w:right w:val="none" w:sz="0" w:space="0" w:color="auto"/>
          </w:divBdr>
        </w:div>
      </w:divsChild>
    </w:div>
    <w:div w:id="1383555000">
      <w:bodyDiv w:val="1"/>
      <w:marLeft w:val="0"/>
      <w:marRight w:val="0"/>
      <w:marTop w:val="0"/>
      <w:marBottom w:val="0"/>
      <w:divBdr>
        <w:top w:val="none" w:sz="0" w:space="0" w:color="auto"/>
        <w:left w:val="none" w:sz="0" w:space="0" w:color="auto"/>
        <w:bottom w:val="none" w:sz="0" w:space="0" w:color="auto"/>
        <w:right w:val="none" w:sz="0" w:space="0" w:color="auto"/>
      </w:divBdr>
      <w:divsChild>
        <w:div w:id="575628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1E492-8D89-4D89-BD0C-21B94EFE9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1904</Characters>
  <Application>Microsoft Office Word</Application>
  <DocSecurity>8</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Kindler, Birgit Dr.</dc:creator>
  <cp:keywords/>
  <dc:description/>
  <cp:lastModifiedBy>Reitz, Elena</cp:lastModifiedBy>
  <cp:revision>4</cp:revision>
  <dcterms:created xsi:type="dcterms:W3CDTF">2026-10-27T12:33:00Z</dcterms:created>
  <dcterms:modified xsi:type="dcterms:W3CDTF">2026-10-28T08:26:00Z</dcterms:modified>
</cp:coreProperties>
</file>