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2026-LRA-V-53-08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Aktivierungsmaßnahme für arbeitslose Menschen - Maßnahme zur Aktivierung und Vermittlung gem. § 16 Abs. 1 SGB II i. V. m. § 45 Abs. 1 S. 1 Nr. 1-3 SGB III</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Maßnahme zur Aktivierung und Vermittlung gem. § 16 Abs. 1 SGB II i. V. m. § 45 Abs. 1 S. 1 Nr. 1-3 SGB III 
Aktivierungsmaßnahme für arbeitslose Menschen 
Bereitzustellen sind am Standort Aalen 20 Teilnehmerplätze und am Standort Schwäbisch Gmünd 25
Teilnehmerplätze mit Optionen auf Verlängerung um 12 Monate und Erhöhung der Platzzahlen um bis zu 20%</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