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F36E5" w14:textId="3A4749CD" w:rsidR="0078761A" w:rsidRPr="00AD1F33" w:rsidRDefault="00D2099C" w:rsidP="00D2099C">
      <w:pPr>
        <w:spacing w:before="240" w:after="240"/>
        <w:jc w:val="center"/>
        <w:rPr>
          <w:rFonts w:ascii="Arial" w:hAnsi="Arial" w:cs="Arial"/>
          <w:sz w:val="36"/>
        </w:rPr>
      </w:pPr>
      <w:r w:rsidRPr="00AD1F33">
        <w:rPr>
          <w:rFonts w:ascii="Arial" w:hAnsi="Arial" w:cs="Arial"/>
          <w:sz w:val="36"/>
        </w:rPr>
        <w:t>Ausschreibungsbedingungen</w:t>
      </w:r>
    </w:p>
    <w:sdt>
      <w:sdtPr>
        <w:rPr>
          <w:rFonts w:ascii="Arial" w:hAnsi="Arial" w:cs="Arial"/>
          <w:b/>
          <w:sz w:val="28"/>
          <w:szCs w:val="26"/>
        </w:rPr>
        <w:id w:val="1040400642"/>
        <w:docPartObj>
          <w:docPartGallery w:val="Table of Contents"/>
          <w:docPartUnique/>
        </w:docPartObj>
      </w:sdtPr>
      <w:sdtEndPr>
        <w:rPr>
          <w:b w:val="0"/>
          <w:sz w:val="22"/>
          <w:szCs w:val="20"/>
        </w:rPr>
      </w:sdtEndPr>
      <w:sdtContent>
        <w:p w14:paraId="339DE6BE" w14:textId="4915D0C5" w:rsidR="00D2099C" w:rsidRPr="00AD1F33" w:rsidRDefault="00D55191">
          <w:pPr>
            <w:pStyle w:val="Verzeichnis1"/>
            <w:tabs>
              <w:tab w:val="left" w:pos="440"/>
              <w:tab w:val="right" w:leader="dot" w:pos="9063"/>
            </w:tabs>
            <w:rPr>
              <w:rFonts w:ascii="Arial" w:eastAsiaTheme="minorEastAsia" w:hAnsi="Arial" w:cs="Arial"/>
              <w:noProof/>
              <w:kern w:val="2"/>
              <w:sz w:val="24"/>
              <w:szCs w:val="24"/>
              <w:lang w:eastAsia="de-DE"/>
              <w14:ligatures w14:val="standardContextual"/>
            </w:rPr>
          </w:pPr>
          <w:r w:rsidRPr="00AD1F33">
            <w:fldChar w:fldCharType="begin"/>
          </w:r>
          <w:r w:rsidRPr="00AD1F33">
            <w:rPr>
              <w:rStyle w:val="Verzeichnissprung"/>
              <w:rFonts w:ascii="Arial" w:hAnsi="Arial" w:cs="Arial"/>
              <w:webHidden/>
            </w:rPr>
            <w:instrText xml:space="preserve"> TOC \z \o "1-2" \u \h</w:instrText>
          </w:r>
          <w:r w:rsidRPr="00AD1F33">
            <w:rPr>
              <w:rStyle w:val="Verzeichnissprung"/>
              <w:rFonts w:ascii="Arial" w:hAnsi="Arial" w:cs="Arial"/>
            </w:rPr>
            <w:fldChar w:fldCharType="separate"/>
          </w:r>
          <w:hyperlink w:anchor="_Toc230266740" w:history="1">
            <w:r w:rsidR="00D2099C" w:rsidRPr="00AD1F33">
              <w:rPr>
                <w:rStyle w:val="Hyperlink"/>
                <w:rFonts w:ascii="Arial" w:hAnsi="Arial" w:cs="Arial"/>
                <w:noProof/>
              </w:rPr>
              <w:t>1</w:t>
            </w:r>
            <w:r w:rsidR="00D2099C" w:rsidRPr="00AD1F33">
              <w:rPr>
                <w:rFonts w:ascii="Arial" w:eastAsiaTheme="minorEastAsia" w:hAnsi="Arial" w:cs="Arial"/>
                <w:noProof/>
                <w:kern w:val="2"/>
                <w:sz w:val="24"/>
                <w:szCs w:val="24"/>
                <w:lang w:eastAsia="de-DE"/>
                <w14:ligatures w14:val="standardContextual"/>
              </w:rPr>
              <w:tab/>
            </w:r>
            <w:r w:rsidR="00D2099C" w:rsidRPr="00AD1F33">
              <w:rPr>
                <w:rStyle w:val="Hyperlink"/>
                <w:rFonts w:ascii="Arial" w:hAnsi="Arial" w:cs="Arial"/>
                <w:noProof/>
              </w:rPr>
              <w:t>Zusammenfassende Beschreibung des Vergabeverfahrens</w:t>
            </w:r>
            <w:r w:rsidR="00D2099C" w:rsidRPr="00AD1F33">
              <w:rPr>
                <w:rFonts w:ascii="Arial" w:hAnsi="Arial" w:cs="Arial"/>
                <w:noProof/>
                <w:webHidden/>
              </w:rPr>
              <w:tab/>
            </w:r>
            <w:r w:rsidR="00D2099C" w:rsidRPr="00AD1F33">
              <w:rPr>
                <w:rFonts w:ascii="Arial" w:hAnsi="Arial" w:cs="Arial"/>
                <w:noProof/>
                <w:webHidden/>
              </w:rPr>
              <w:fldChar w:fldCharType="begin"/>
            </w:r>
            <w:r w:rsidR="00D2099C" w:rsidRPr="00AD1F33">
              <w:rPr>
                <w:rFonts w:ascii="Arial" w:hAnsi="Arial" w:cs="Arial"/>
                <w:noProof/>
                <w:webHidden/>
              </w:rPr>
              <w:instrText xml:space="preserve"> PAGEREF _Toc230266740 \h </w:instrText>
            </w:r>
            <w:r w:rsidR="00D2099C" w:rsidRPr="00AD1F33">
              <w:rPr>
                <w:rFonts w:ascii="Arial" w:hAnsi="Arial" w:cs="Arial"/>
                <w:noProof/>
                <w:webHidden/>
              </w:rPr>
            </w:r>
            <w:r w:rsidR="00D2099C" w:rsidRPr="00AD1F33">
              <w:rPr>
                <w:rFonts w:ascii="Arial" w:hAnsi="Arial" w:cs="Arial"/>
                <w:noProof/>
                <w:webHidden/>
              </w:rPr>
              <w:fldChar w:fldCharType="separate"/>
            </w:r>
            <w:r w:rsidR="00BB3EF8" w:rsidRPr="00AD1F33">
              <w:rPr>
                <w:rFonts w:ascii="Arial" w:hAnsi="Arial" w:cs="Arial"/>
                <w:noProof/>
                <w:webHidden/>
              </w:rPr>
              <w:t>2</w:t>
            </w:r>
            <w:r w:rsidR="00D2099C" w:rsidRPr="00AD1F33">
              <w:rPr>
                <w:rFonts w:ascii="Arial" w:hAnsi="Arial" w:cs="Arial"/>
                <w:noProof/>
                <w:webHidden/>
              </w:rPr>
              <w:fldChar w:fldCharType="end"/>
            </w:r>
          </w:hyperlink>
        </w:p>
        <w:p w14:paraId="4BA9C5D0" w14:textId="70B2B5CB" w:rsidR="00D2099C" w:rsidRPr="00AD1F33" w:rsidRDefault="00D2099C">
          <w:pPr>
            <w:pStyle w:val="Verzeichnis1"/>
            <w:tabs>
              <w:tab w:val="left" w:pos="440"/>
              <w:tab w:val="right" w:leader="dot" w:pos="9063"/>
            </w:tabs>
            <w:rPr>
              <w:rFonts w:ascii="Arial" w:eastAsiaTheme="minorEastAsia" w:hAnsi="Arial" w:cs="Arial"/>
              <w:noProof/>
              <w:kern w:val="2"/>
              <w:sz w:val="24"/>
              <w:szCs w:val="24"/>
              <w:lang w:eastAsia="de-DE"/>
              <w14:ligatures w14:val="standardContextual"/>
            </w:rPr>
          </w:pPr>
          <w:hyperlink w:anchor="_Toc230266741" w:history="1">
            <w:r w:rsidRPr="00AD1F33">
              <w:rPr>
                <w:rStyle w:val="Hyperlink"/>
                <w:rFonts w:ascii="Arial" w:hAnsi="Arial" w:cs="Arial"/>
                <w:noProof/>
              </w:rPr>
              <w:t>2</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Leistungsgegenstand</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_Toc230266741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3</w:t>
            </w:r>
            <w:r w:rsidRPr="00AD1F33">
              <w:rPr>
                <w:rFonts w:ascii="Arial" w:hAnsi="Arial" w:cs="Arial"/>
                <w:noProof/>
                <w:webHidden/>
              </w:rPr>
              <w:fldChar w:fldCharType="end"/>
            </w:r>
          </w:hyperlink>
        </w:p>
        <w:p w14:paraId="4B169EA5" w14:textId="637C7001" w:rsidR="00D2099C" w:rsidRPr="00AD1F33" w:rsidRDefault="00D2099C">
          <w:pPr>
            <w:pStyle w:val="Verzeichnis1"/>
            <w:tabs>
              <w:tab w:val="left" w:pos="440"/>
              <w:tab w:val="right" w:leader="dot" w:pos="9063"/>
            </w:tabs>
            <w:rPr>
              <w:rFonts w:ascii="Arial" w:eastAsiaTheme="minorEastAsia" w:hAnsi="Arial" w:cs="Arial"/>
              <w:noProof/>
              <w:kern w:val="2"/>
              <w:sz w:val="24"/>
              <w:szCs w:val="24"/>
              <w:lang w:eastAsia="de-DE"/>
              <w14:ligatures w14:val="standardContextual"/>
            </w:rPr>
          </w:pPr>
          <w:hyperlink w:anchor="_Toc230266742" w:history="1">
            <w:r w:rsidRPr="00AD1F33">
              <w:rPr>
                <w:rStyle w:val="Hyperlink"/>
                <w:rFonts w:ascii="Arial" w:hAnsi="Arial" w:cs="Arial"/>
                <w:noProof/>
              </w:rPr>
              <w:t>3</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Verfahrensgrundsätze</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_Toc230266742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4</w:t>
            </w:r>
            <w:r w:rsidRPr="00AD1F33">
              <w:rPr>
                <w:rFonts w:ascii="Arial" w:hAnsi="Arial" w:cs="Arial"/>
                <w:noProof/>
                <w:webHidden/>
              </w:rPr>
              <w:fldChar w:fldCharType="end"/>
            </w:r>
          </w:hyperlink>
        </w:p>
        <w:p w14:paraId="3DD0F0DD" w14:textId="6B1FCACE"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43" w:history="1">
            <w:r w:rsidRPr="00AD1F33">
              <w:rPr>
                <w:rStyle w:val="Hyperlink"/>
                <w:rFonts w:ascii="Arial" w:hAnsi="Arial" w:cs="Arial"/>
                <w:bCs/>
                <w:noProof/>
              </w:rPr>
              <w:t>3.1</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Verfahrensart</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_Toc230266743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4</w:t>
            </w:r>
            <w:r w:rsidRPr="00AD1F33">
              <w:rPr>
                <w:rFonts w:ascii="Arial" w:hAnsi="Arial" w:cs="Arial"/>
                <w:noProof/>
                <w:webHidden/>
              </w:rPr>
              <w:fldChar w:fldCharType="end"/>
            </w:r>
          </w:hyperlink>
        </w:p>
        <w:p w14:paraId="13B52EB9" w14:textId="46E811B0"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44" w:history="1">
            <w:r w:rsidRPr="00AD1F33">
              <w:rPr>
                <w:rStyle w:val="Hyperlink"/>
                <w:rFonts w:ascii="Arial" w:hAnsi="Arial" w:cs="Arial"/>
                <w:bCs/>
                <w:noProof/>
              </w:rPr>
              <w:t>3.2</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Auftraggeberin und Kontaktstelle</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_Toc230266744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4</w:t>
            </w:r>
            <w:r w:rsidRPr="00AD1F33">
              <w:rPr>
                <w:rFonts w:ascii="Arial" w:hAnsi="Arial" w:cs="Arial"/>
                <w:noProof/>
                <w:webHidden/>
              </w:rPr>
              <w:fldChar w:fldCharType="end"/>
            </w:r>
          </w:hyperlink>
        </w:p>
        <w:p w14:paraId="28CE19EB" w14:textId="7AD94F81"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45" w:history="1">
            <w:r w:rsidRPr="00AD1F33">
              <w:rPr>
                <w:rStyle w:val="Hyperlink"/>
                <w:rFonts w:ascii="Arial" w:hAnsi="Arial" w:cs="Arial"/>
                <w:bCs/>
                <w:noProof/>
              </w:rPr>
              <w:t>3.3</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Vergabeunterlagen</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_Toc230266745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4</w:t>
            </w:r>
            <w:r w:rsidRPr="00AD1F33">
              <w:rPr>
                <w:rFonts w:ascii="Arial" w:hAnsi="Arial" w:cs="Arial"/>
                <w:noProof/>
                <w:webHidden/>
              </w:rPr>
              <w:fldChar w:fldCharType="end"/>
            </w:r>
          </w:hyperlink>
        </w:p>
        <w:p w14:paraId="05C51462" w14:textId="1710A958"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46" w:history="1">
            <w:r w:rsidRPr="00AD1F33">
              <w:rPr>
                <w:rStyle w:val="Hyperlink"/>
                <w:rFonts w:ascii="Arial" w:hAnsi="Arial" w:cs="Arial"/>
                <w:bCs/>
                <w:noProof/>
              </w:rPr>
              <w:t>3.4</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Verfahrenssprache</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_Toc230266746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6</w:t>
            </w:r>
            <w:r w:rsidRPr="00AD1F33">
              <w:rPr>
                <w:rFonts w:ascii="Arial" w:hAnsi="Arial" w:cs="Arial"/>
                <w:noProof/>
                <w:webHidden/>
              </w:rPr>
              <w:fldChar w:fldCharType="end"/>
            </w:r>
          </w:hyperlink>
        </w:p>
        <w:p w14:paraId="74AB9611" w14:textId="4A701654"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47" w:history="1">
            <w:r w:rsidRPr="00AD1F33">
              <w:rPr>
                <w:rStyle w:val="Hyperlink"/>
                <w:rFonts w:ascii="Arial" w:hAnsi="Arial" w:cs="Arial"/>
                <w:bCs/>
                <w:noProof/>
              </w:rPr>
              <w:t>3.5</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Personenbezogene Bezeichnungen</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_Toc230266747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6</w:t>
            </w:r>
            <w:r w:rsidRPr="00AD1F33">
              <w:rPr>
                <w:rFonts w:ascii="Arial" w:hAnsi="Arial" w:cs="Arial"/>
                <w:noProof/>
                <w:webHidden/>
              </w:rPr>
              <w:fldChar w:fldCharType="end"/>
            </w:r>
          </w:hyperlink>
        </w:p>
        <w:p w14:paraId="75A8F94B" w14:textId="5642EA36"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48" w:history="1">
            <w:r w:rsidRPr="00AD1F33">
              <w:rPr>
                <w:rStyle w:val="Hyperlink"/>
                <w:rFonts w:ascii="Arial" w:hAnsi="Arial" w:cs="Arial"/>
                <w:bCs/>
                <w:noProof/>
              </w:rPr>
              <w:t>3.6</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Datenschutz</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_Toc230266748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6</w:t>
            </w:r>
            <w:r w:rsidRPr="00AD1F33">
              <w:rPr>
                <w:rFonts w:ascii="Arial" w:hAnsi="Arial" w:cs="Arial"/>
                <w:noProof/>
                <w:webHidden/>
              </w:rPr>
              <w:fldChar w:fldCharType="end"/>
            </w:r>
          </w:hyperlink>
        </w:p>
        <w:p w14:paraId="6E709A78" w14:textId="4801BC30"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49" w:history="1">
            <w:r w:rsidRPr="00AD1F33">
              <w:rPr>
                <w:rStyle w:val="Hyperlink"/>
                <w:rFonts w:ascii="Arial" w:hAnsi="Arial" w:cs="Arial"/>
                <w:bCs/>
                <w:noProof/>
              </w:rPr>
              <w:t>3.7</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Kosten-/Aufwandserstattung</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_Toc230266749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7</w:t>
            </w:r>
            <w:r w:rsidRPr="00AD1F33">
              <w:rPr>
                <w:rFonts w:ascii="Arial" w:hAnsi="Arial" w:cs="Arial"/>
                <w:noProof/>
                <w:webHidden/>
              </w:rPr>
              <w:fldChar w:fldCharType="end"/>
            </w:r>
          </w:hyperlink>
        </w:p>
        <w:p w14:paraId="70E2E0E8" w14:textId="01B0FEE1"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50" w:history="1">
            <w:r w:rsidRPr="00AD1F33">
              <w:rPr>
                <w:rStyle w:val="Hyperlink"/>
                <w:rFonts w:ascii="Arial" w:hAnsi="Arial" w:cs="Arial"/>
                <w:bCs/>
                <w:noProof/>
              </w:rPr>
              <w:t>3.8</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Vertraulichkeit und Datenspeicherung</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_Toc230266750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7</w:t>
            </w:r>
            <w:r w:rsidRPr="00AD1F33">
              <w:rPr>
                <w:rFonts w:ascii="Arial" w:hAnsi="Arial" w:cs="Arial"/>
                <w:noProof/>
                <w:webHidden/>
              </w:rPr>
              <w:fldChar w:fldCharType="end"/>
            </w:r>
          </w:hyperlink>
        </w:p>
        <w:p w14:paraId="4ADB131A" w14:textId="627F0390"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51" w:history="1">
            <w:r w:rsidRPr="00AD1F33">
              <w:rPr>
                <w:rStyle w:val="Hyperlink"/>
                <w:rFonts w:ascii="Arial" w:hAnsi="Arial" w:cs="Arial"/>
                <w:bCs/>
                <w:noProof/>
              </w:rPr>
              <w:t>3.9</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Auskünfte, Vollständigkeit der Unterlagen, Bieterfragen</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_Toc230266751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7</w:t>
            </w:r>
            <w:r w:rsidRPr="00AD1F33">
              <w:rPr>
                <w:rFonts w:ascii="Arial" w:hAnsi="Arial" w:cs="Arial"/>
                <w:noProof/>
                <w:webHidden/>
              </w:rPr>
              <w:fldChar w:fldCharType="end"/>
            </w:r>
          </w:hyperlink>
        </w:p>
        <w:p w14:paraId="517898CC" w14:textId="6F28C92D" w:rsidR="00D2099C" w:rsidRPr="00AD1F33" w:rsidRDefault="00D2099C">
          <w:pPr>
            <w:pStyle w:val="Verzeichnis2"/>
            <w:tabs>
              <w:tab w:val="left" w:pos="1100"/>
              <w:tab w:val="right" w:leader="dot" w:pos="9063"/>
            </w:tabs>
            <w:rPr>
              <w:rFonts w:ascii="Arial" w:eastAsiaTheme="minorEastAsia" w:hAnsi="Arial" w:cs="Arial"/>
              <w:noProof/>
              <w:kern w:val="2"/>
              <w:sz w:val="24"/>
              <w:szCs w:val="24"/>
              <w:lang w:eastAsia="de-DE"/>
              <w14:ligatures w14:val="standardContextual"/>
            </w:rPr>
          </w:pPr>
          <w:hyperlink w:anchor="_Toc230266752" w:history="1">
            <w:r w:rsidRPr="00AD1F33">
              <w:rPr>
                <w:rStyle w:val="Hyperlink"/>
                <w:rFonts w:ascii="Arial" w:hAnsi="Arial" w:cs="Arial"/>
                <w:bCs/>
                <w:noProof/>
              </w:rPr>
              <w:t>3.10</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Beteiligungsformen am Vergabeverfahren</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_Toc230266752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9</w:t>
            </w:r>
            <w:r w:rsidRPr="00AD1F33">
              <w:rPr>
                <w:rFonts w:ascii="Arial" w:hAnsi="Arial" w:cs="Arial"/>
                <w:noProof/>
                <w:webHidden/>
              </w:rPr>
              <w:fldChar w:fldCharType="end"/>
            </w:r>
          </w:hyperlink>
        </w:p>
        <w:p w14:paraId="1A8AA779" w14:textId="386B9B4D" w:rsidR="00D2099C" w:rsidRPr="00AD1F33" w:rsidRDefault="00D2099C">
          <w:pPr>
            <w:pStyle w:val="Verzeichnis1"/>
            <w:tabs>
              <w:tab w:val="left" w:pos="440"/>
              <w:tab w:val="right" w:leader="dot" w:pos="9063"/>
            </w:tabs>
            <w:rPr>
              <w:rFonts w:ascii="Arial" w:eastAsiaTheme="minorEastAsia" w:hAnsi="Arial" w:cs="Arial"/>
              <w:noProof/>
              <w:kern w:val="2"/>
              <w:sz w:val="24"/>
              <w:szCs w:val="24"/>
              <w:lang w:eastAsia="de-DE"/>
              <w14:ligatures w14:val="standardContextual"/>
            </w:rPr>
          </w:pPr>
          <w:hyperlink w:anchor="_Toc230266753" w:history="1">
            <w:r w:rsidRPr="00AD1F33">
              <w:rPr>
                <w:rStyle w:val="Hyperlink"/>
                <w:rFonts w:ascii="Arial" w:hAnsi="Arial" w:cs="Arial"/>
                <w:noProof/>
              </w:rPr>
              <w:t>4</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Ablauf des Vergabeverfahrens</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_Toc230266753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10</w:t>
            </w:r>
            <w:r w:rsidRPr="00AD1F33">
              <w:rPr>
                <w:rFonts w:ascii="Arial" w:hAnsi="Arial" w:cs="Arial"/>
                <w:noProof/>
                <w:webHidden/>
              </w:rPr>
              <w:fldChar w:fldCharType="end"/>
            </w:r>
          </w:hyperlink>
        </w:p>
        <w:p w14:paraId="54478CDF" w14:textId="7224A412"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54" w:history="1">
            <w:r w:rsidRPr="00AD1F33">
              <w:rPr>
                <w:rStyle w:val="Hyperlink"/>
                <w:rFonts w:ascii="Arial" w:hAnsi="Arial" w:cs="Arial"/>
                <w:bCs/>
                <w:noProof/>
              </w:rPr>
              <w:t>4.1</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Voraussichtlicher Terminplan</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_Toc230266754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11</w:t>
            </w:r>
            <w:r w:rsidRPr="00AD1F33">
              <w:rPr>
                <w:rFonts w:ascii="Arial" w:hAnsi="Arial" w:cs="Arial"/>
                <w:noProof/>
                <w:webHidden/>
              </w:rPr>
              <w:fldChar w:fldCharType="end"/>
            </w:r>
          </w:hyperlink>
        </w:p>
        <w:p w14:paraId="57F41E87" w14:textId="4BCE5C98"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55" w:history="1">
            <w:r w:rsidRPr="00AD1F33">
              <w:rPr>
                <w:rStyle w:val="Hyperlink"/>
                <w:rFonts w:ascii="Arial" w:hAnsi="Arial" w:cs="Arial"/>
                <w:bCs/>
                <w:noProof/>
              </w:rPr>
              <w:t>4.2</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Angebot und Angebotsfrist</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_Toc230266755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11</w:t>
            </w:r>
            <w:r w:rsidRPr="00AD1F33">
              <w:rPr>
                <w:rFonts w:ascii="Arial" w:hAnsi="Arial" w:cs="Arial"/>
                <w:noProof/>
                <w:webHidden/>
              </w:rPr>
              <w:fldChar w:fldCharType="end"/>
            </w:r>
          </w:hyperlink>
        </w:p>
        <w:p w14:paraId="4B4400E0" w14:textId="4687E237"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56" w:history="1">
            <w:r w:rsidRPr="00AD1F33">
              <w:rPr>
                <w:rStyle w:val="Hyperlink"/>
                <w:rFonts w:ascii="Arial" w:hAnsi="Arial" w:cs="Arial"/>
                <w:bCs/>
                <w:noProof/>
              </w:rPr>
              <w:t>4.3</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Änderung, Berichtigung oder Rücknahme von Angeboten</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_Toc230266756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12</w:t>
            </w:r>
            <w:r w:rsidRPr="00AD1F33">
              <w:rPr>
                <w:rFonts w:ascii="Arial" w:hAnsi="Arial" w:cs="Arial"/>
                <w:noProof/>
                <w:webHidden/>
              </w:rPr>
              <w:fldChar w:fldCharType="end"/>
            </w:r>
          </w:hyperlink>
        </w:p>
        <w:p w14:paraId="0AE2776E" w14:textId="643D11C9"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57" w:history="1">
            <w:r w:rsidRPr="00AD1F33">
              <w:rPr>
                <w:rStyle w:val="Hyperlink"/>
                <w:rFonts w:ascii="Arial" w:hAnsi="Arial" w:cs="Arial"/>
                <w:bCs/>
                <w:noProof/>
              </w:rPr>
              <w:t>4.4</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Mehrere Hauptangebote</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_Toc230266757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13</w:t>
            </w:r>
            <w:r w:rsidRPr="00AD1F33">
              <w:rPr>
                <w:rFonts w:ascii="Arial" w:hAnsi="Arial" w:cs="Arial"/>
                <w:noProof/>
                <w:webHidden/>
              </w:rPr>
              <w:fldChar w:fldCharType="end"/>
            </w:r>
          </w:hyperlink>
        </w:p>
        <w:p w14:paraId="2D0C7993" w14:textId="5712CCD0"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58" w:history="1">
            <w:r w:rsidRPr="00AD1F33">
              <w:rPr>
                <w:rStyle w:val="Hyperlink"/>
                <w:rFonts w:ascii="Arial" w:hAnsi="Arial" w:cs="Arial"/>
                <w:bCs/>
                <w:noProof/>
              </w:rPr>
              <w:t>4.5</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Nebenangebote</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_Toc230266758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13</w:t>
            </w:r>
            <w:r w:rsidRPr="00AD1F33">
              <w:rPr>
                <w:rFonts w:ascii="Arial" w:hAnsi="Arial" w:cs="Arial"/>
                <w:noProof/>
                <w:webHidden/>
              </w:rPr>
              <w:fldChar w:fldCharType="end"/>
            </w:r>
          </w:hyperlink>
        </w:p>
        <w:p w14:paraId="52A0C23C" w14:textId="74FCC0AC" w:rsidR="00D2099C" w:rsidRPr="00AD1F33" w:rsidRDefault="00D2099C">
          <w:pPr>
            <w:pStyle w:val="Verzeichnis1"/>
            <w:tabs>
              <w:tab w:val="left" w:pos="440"/>
              <w:tab w:val="right" w:leader="dot" w:pos="9063"/>
            </w:tabs>
            <w:rPr>
              <w:rFonts w:ascii="Arial" w:eastAsiaTheme="minorEastAsia" w:hAnsi="Arial" w:cs="Arial"/>
              <w:noProof/>
              <w:kern w:val="2"/>
              <w:sz w:val="24"/>
              <w:szCs w:val="24"/>
              <w:lang w:eastAsia="de-DE"/>
              <w14:ligatures w14:val="standardContextual"/>
            </w:rPr>
          </w:pPr>
          <w:hyperlink w:anchor="_Toc230266759" w:history="1">
            <w:r w:rsidRPr="00AD1F33">
              <w:rPr>
                <w:rStyle w:val="Hyperlink"/>
                <w:rFonts w:ascii="Arial" w:hAnsi="Arial" w:cs="Arial"/>
                <w:noProof/>
              </w:rPr>
              <w:t>5</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Eignungskriterien</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_Toc230266759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13</w:t>
            </w:r>
            <w:r w:rsidRPr="00AD1F33">
              <w:rPr>
                <w:rFonts w:ascii="Arial" w:hAnsi="Arial" w:cs="Arial"/>
                <w:noProof/>
                <w:webHidden/>
              </w:rPr>
              <w:fldChar w:fldCharType="end"/>
            </w:r>
          </w:hyperlink>
        </w:p>
        <w:p w14:paraId="7C485CB9" w14:textId="6E9D16A1"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60" w:history="1">
            <w:r w:rsidRPr="00AD1F33">
              <w:rPr>
                <w:rStyle w:val="Hyperlink"/>
                <w:rFonts w:ascii="Arial" w:hAnsi="Arial" w:cs="Arial"/>
                <w:bCs/>
                <w:noProof/>
              </w:rPr>
              <w:t>5.1</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Befähigung und Erlaubnis zur Berufsausübung / Ausschlussgründe</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_Toc230266760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13</w:t>
            </w:r>
            <w:r w:rsidRPr="00AD1F33">
              <w:rPr>
                <w:rFonts w:ascii="Arial" w:hAnsi="Arial" w:cs="Arial"/>
                <w:noProof/>
                <w:webHidden/>
              </w:rPr>
              <w:fldChar w:fldCharType="end"/>
            </w:r>
          </w:hyperlink>
        </w:p>
        <w:p w14:paraId="7F1A18BE" w14:textId="34F5B51F"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61" w:history="1">
            <w:r w:rsidRPr="00AD1F33">
              <w:rPr>
                <w:rStyle w:val="Hyperlink"/>
                <w:rFonts w:ascii="Arial" w:hAnsi="Arial" w:cs="Arial"/>
                <w:bCs/>
                <w:noProof/>
              </w:rPr>
              <w:t>5.2</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Nachweis der wirtschaftlichen und finanziellen Leistungsfähigkeit</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_Toc230266761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15</w:t>
            </w:r>
            <w:r w:rsidRPr="00AD1F33">
              <w:rPr>
                <w:rFonts w:ascii="Arial" w:hAnsi="Arial" w:cs="Arial"/>
                <w:noProof/>
                <w:webHidden/>
              </w:rPr>
              <w:fldChar w:fldCharType="end"/>
            </w:r>
          </w:hyperlink>
        </w:p>
        <w:p w14:paraId="273434D3" w14:textId="111108C4"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62" w:history="1">
            <w:r w:rsidRPr="00AD1F33">
              <w:rPr>
                <w:rStyle w:val="Hyperlink"/>
                <w:rFonts w:ascii="Arial" w:hAnsi="Arial" w:cs="Arial"/>
                <w:bCs/>
                <w:noProof/>
              </w:rPr>
              <w:t>5.3</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Nachweis der technischen und beruflichen Leistungsfähigkeit</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_Toc230266762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16</w:t>
            </w:r>
            <w:r w:rsidRPr="00AD1F33">
              <w:rPr>
                <w:rFonts w:ascii="Arial" w:hAnsi="Arial" w:cs="Arial"/>
                <w:noProof/>
                <w:webHidden/>
              </w:rPr>
              <w:fldChar w:fldCharType="end"/>
            </w:r>
          </w:hyperlink>
        </w:p>
        <w:p w14:paraId="18DB499D" w14:textId="29C1929E" w:rsidR="00D2099C" w:rsidRPr="00AD1F33" w:rsidRDefault="00D2099C">
          <w:pPr>
            <w:pStyle w:val="Verzeichnis1"/>
            <w:tabs>
              <w:tab w:val="left" w:pos="440"/>
              <w:tab w:val="right" w:leader="dot" w:pos="9063"/>
            </w:tabs>
            <w:rPr>
              <w:rFonts w:ascii="Arial" w:eastAsiaTheme="minorEastAsia" w:hAnsi="Arial" w:cs="Arial"/>
              <w:noProof/>
              <w:kern w:val="2"/>
              <w:sz w:val="24"/>
              <w:szCs w:val="24"/>
              <w:lang w:eastAsia="de-DE"/>
              <w14:ligatures w14:val="standardContextual"/>
            </w:rPr>
          </w:pPr>
          <w:hyperlink w:anchor="_Toc230266763" w:history="1">
            <w:r w:rsidRPr="00AD1F33">
              <w:rPr>
                <w:rStyle w:val="Hyperlink"/>
                <w:rFonts w:ascii="Arial" w:hAnsi="Arial" w:cs="Arial"/>
                <w:noProof/>
              </w:rPr>
              <w:t>6</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Zuschlagskriterien</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_Toc230266763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17</w:t>
            </w:r>
            <w:r w:rsidRPr="00AD1F33">
              <w:rPr>
                <w:rFonts w:ascii="Arial" w:hAnsi="Arial" w:cs="Arial"/>
                <w:noProof/>
                <w:webHidden/>
              </w:rPr>
              <w:fldChar w:fldCharType="end"/>
            </w:r>
          </w:hyperlink>
        </w:p>
        <w:p w14:paraId="2FA3C009" w14:textId="7FF767B0"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64" w:history="1">
            <w:r w:rsidRPr="00AD1F33">
              <w:rPr>
                <w:rStyle w:val="Hyperlink"/>
                <w:rFonts w:ascii="Arial" w:hAnsi="Arial" w:cs="Arial"/>
                <w:bCs/>
                <w:noProof/>
              </w:rPr>
              <w:t>6.1</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Preis (100 Punkte)</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_Toc230266764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18</w:t>
            </w:r>
            <w:r w:rsidRPr="00AD1F33">
              <w:rPr>
                <w:rFonts w:ascii="Arial" w:hAnsi="Arial" w:cs="Arial"/>
                <w:noProof/>
                <w:webHidden/>
              </w:rPr>
              <w:fldChar w:fldCharType="end"/>
            </w:r>
          </w:hyperlink>
        </w:p>
        <w:p w14:paraId="380AF55B" w14:textId="47A38715"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65" w:history="1">
            <w:r w:rsidRPr="00AD1F33">
              <w:rPr>
                <w:rStyle w:val="Hyperlink"/>
                <w:rFonts w:ascii="Arial" w:hAnsi="Arial" w:cs="Arial"/>
                <w:bCs/>
                <w:noProof/>
              </w:rPr>
              <w:t>6.2</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Qualität: Konzept zur Leistungserbringung (100 Punkte)</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_Toc230266765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18</w:t>
            </w:r>
            <w:r w:rsidRPr="00AD1F33">
              <w:rPr>
                <w:rFonts w:ascii="Arial" w:hAnsi="Arial" w:cs="Arial"/>
                <w:noProof/>
                <w:webHidden/>
              </w:rPr>
              <w:fldChar w:fldCharType="end"/>
            </w:r>
          </w:hyperlink>
        </w:p>
        <w:p w14:paraId="177386F7" w14:textId="015A2078" w:rsidR="00D2099C" w:rsidRPr="00AD1F33" w:rsidRDefault="00D2099C">
          <w:pPr>
            <w:pStyle w:val="Verzeichnis1"/>
            <w:tabs>
              <w:tab w:val="left" w:pos="440"/>
              <w:tab w:val="right" w:leader="dot" w:pos="9063"/>
            </w:tabs>
            <w:rPr>
              <w:rFonts w:ascii="Arial" w:eastAsiaTheme="minorEastAsia" w:hAnsi="Arial" w:cs="Arial"/>
              <w:noProof/>
              <w:kern w:val="2"/>
              <w:sz w:val="24"/>
              <w:szCs w:val="24"/>
              <w:lang w:eastAsia="de-DE"/>
              <w14:ligatures w14:val="standardContextual"/>
            </w:rPr>
          </w:pPr>
          <w:hyperlink w:anchor="_Toc230266766" w:history="1">
            <w:r w:rsidRPr="00AD1F33">
              <w:rPr>
                <w:rStyle w:val="Hyperlink"/>
                <w:rFonts w:ascii="Arial" w:eastAsiaTheme="minorHAnsi" w:hAnsi="Arial" w:cs="Arial"/>
                <w:noProof/>
              </w:rPr>
              <w:t>7</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eastAsiaTheme="minorHAnsi" w:hAnsi="Arial" w:cs="Arial"/>
                <w:noProof/>
              </w:rPr>
              <w:t>Inhalt des Angebots</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_Toc230266766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24</w:t>
            </w:r>
            <w:r w:rsidRPr="00AD1F33">
              <w:rPr>
                <w:rFonts w:ascii="Arial" w:hAnsi="Arial" w:cs="Arial"/>
                <w:noProof/>
                <w:webHidden/>
              </w:rPr>
              <w:fldChar w:fldCharType="end"/>
            </w:r>
          </w:hyperlink>
        </w:p>
        <w:p w14:paraId="460D8294" w14:textId="7E2784F9" w:rsidR="00D2099C" w:rsidRPr="00AD1F33" w:rsidRDefault="00D2099C">
          <w:pPr>
            <w:pStyle w:val="Verzeichnis1"/>
            <w:tabs>
              <w:tab w:val="left" w:pos="440"/>
              <w:tab w:val="right" w:leader="dot" w:pos="9063"/>
            </w:tabs>
            <w:rPr>
              <w:rFonts w:ascii="Arial" w:eastAsiaTheme="minorEastAsia" w:hAnsi="Arial" w:cs="Arial"/>
              <w:noProof/>
              <w:kern w:val="2"/>
              <w:sz w:val="24"/>
              <w:szCs w:val="24"/>
              <w:lang w:eastAsia="de-DE"/>
              <w14:ligatures w14:val="standardContextual"/>
            </w:rPr>
          </w:pPr>
          <w:hyperlink w:anchor="_Toc230266767" w:history="1">
            <w:r w:rsidRPr="00AD1F33">
              <w:rPr>
                <w:rStyle w:val="Hyperlink"/>
                <w:rFonts w:ascii="Arial" w:eastAsiaTheme="minorHAnsi" w:hAnsi="Arial" w:cs="Arial"/>
                <w:noProof/>
              </w:rPr>
              <w:t>8</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Rügeobliegenheit und Rechtschutz</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_Toc230266767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28</w:t>
            </w:r>
            <w:r w:rsidRPr="00AD1F33">
              <w:rPr>
                <w:rFonts w:ascii="Arial" w:hAnsi="Arial" w:cs="Arial"/>
                <w:noProof/>
                <w:webHidden/>
              </w:rPr>
              <w:fldChar w:fldCharType="end"/>
            </w:r>
          </w:hyperlink>
        </w:p>
        <w:p w14:paraId="0F57413C" w14:textId="2A9C8F93" w:rsidR="00D2099C" w:rsidRPr="00AD1F33" w:rsidRDefault="00D2099C">
          <w:pPr>
            <w:pStyle w:val="Verzeichnis2"/>
            <w:tabs>
              <w:tab w:val="left" w:pos="880"/>
              <w:tab w:val="right" w:leader="dot" w:pos="9063"/>
            </w:tabs>
            <w:rPr>
              <w:rFonts w:ascii="Arial" w:eastAsiaTheme="minorEastAsia" w:hAnsi="Arial" w:cs="Arial"/>
              <w:noProof/>
              <w:kern w:val="2"/>
              <w:sz w:val="24"/>
              <w:szCs w:val="24"/>
              <w:lang w:eastAsia="de-DE"/>
              <w14:ligatures w14:val="standardContextual"/>
            </w:rPr>
          </w:pPr>
          <w:hyperlink w:anchor="_Toc230266768" w:history="1">
            <w:r w:rsidRPr="00AD1F33">
              <w:rPr>
                <w:rStyle w:val="Hyperlink"/>
                <w:rFonts w:ascii="Arial" w:hAnsi="Arial" w:cs="Arial"/>
                <w:bCs/>
                <w:noProof/>
              </w:rPr>
              <w:t>8.1</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Prüfung der Vergabeunterlagen und Meldung etwaiger Unklarheiten</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_Toc230266768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28</w:t>
            </w:r>
            <w:r w:rsidRPr="00AD1F33">
              <w:rPr>
                <w:rFonts w:ascii="Arial" w:hAnsi="Arial" w:cs="Arial"/>
                <w:noProof/>
                <w:webHidden/>
              </w:rPr>
              <w:fldChar w:fldCharType="end"/>
            </w:r>
          </w:hyperlink>
        </w:p>
        <w:p w14:paraId="7C377AC0" w14:textId="5B2C33CC" w:rsidR="003E24F5" w:rsidRPr="00AD1F33" w:rsidRDefault="00D2099C" w:rsidP="00D2099C">
          <w:pPr>
            <w:pStyle w:val="Verzeichnis2"/>
            <w:tabs>
              <w:tab w:val="left" w:pos="880"/>
              <w:tab w:val="right" w:leader="dot" w:pos="9063"/>
            </w:tabs>
            <w:rPr>
              <w:rFonts w:ascii="Arial" w:hAnsi="Arial" w:cs="Arial"/>
            </w:rPr>
          </w:pPr>
          <w:hyperlink w:anchor="_Toc230266769" w:history="1">
            <w:r w:rsidRPr="00AD1F33">
              <w:rPr>
                <w:rStyle w:val="Hyperlink"/>
                <w:rFonts w:ascii="Arial" w:hAnsi="Arial" w:cs="Arial"/>
                <w:bCs/>
                <w:noProof/>
              </w:rPr>
              <w:t>8.2</w:t>
            </w:r>
            <w:r w:rsidRPr="00AD1F33">
              <w:rPr>
                <w:rFonts w:ascii="Arial" w:eastAsiaTheme="minorEastAsia" w:hAnsi="Arial" w:cs="Arial"/>
                <w:noProof/>
                <w:kern w:val="2"/>
                <w:sz w:val="24"/>
                <w:szCs w:val="24"/>
                <w:lang w:eastAsia="de-DE"/>
                <w14:ligatures w14:val="standardContextual"/>
              </w:rPr>
              <w:tab/>
            </w:r>
            <w:r w:rsidRPr="00AD1F33">
              <w:rPr>
                <w:rStyle w:val="Hyperlink"/>
                <w:rFonts w:ascii="Arial" w:hAnsi="Arial" w:cs="Arial"/>
                <w:noProof/>
              </w:rPr>
              <w:t>Verfahrensrügen, Rechtsschutz</w:t>
            </w:r>
            <w:r w:rsidRPr="00AD1F33">
              <w:rPr>
                <w:rFonts w:ascii="Arial" w:hAnsi="Arial" w:cs="Arial"/>
                <w:noProof/>
                <w:webHidden/>
              </w:rPr>
              <w:tab/>
            </w:r>
            <w:r w:rsidRPr="00AD1F33">
              <w:rPr>
                <w:rFonts w:ascii="Arial" w:hAnsi="Arial" w:cs="Arial"/>
                <w:noProof/>
                <w:webHidden/>
              </w:rPr>
              <w:fldChar w:fldCharType="begin"/>
            </w:r>
            <w:r w:rsidRPr="00AD1F33">
              <w:rPr>
                <w:rFonts w:ascii="Arial" w:hAnsi="Arial" w:cs="Arial"/>
                <w:noProof/>
                <w:webHidden/>
              </w:rPr>
              <w:instrText xml:space="preserve"> PAGEREF _Toc230266769 \h </w:instrText>
            </w:r>
            <w:r w:rsidRPr="00AD1F33">
              <w:rPr>
                <w:rFonts w:ascii="Arial" w:hAnsi="Arial" w:cs="Arial"/>
                <w:noProof/>
                <w:webHidden/>
              </w:rPr>
            </w:r>
            <w:r w:rsidRPr="00AD1F33">
              <w:rPr>
                <w:rFonts w:ascii="Arial" w:hAnsi="Arial" w:cs="Arial"/>
                <w:noProof/>
                <w:webHidden/>
              </w:rPr>
              <w:fldChar w:fldCharType="separate"/>
            </w:r>
            <w:r w:rsidR="00BB3EF8" w:rsidRPr="00AD1F33">
              <w:rPr>
                <w:rFonts w:ascii="Arial" w:hAnsi="Arial" w:cs="Arial"/>
                <w:noProof/>
                <w:webHidden/>
              </w:rPr>
              <w:t>29</w:t>
            </w:r>
            <w:r w:rsidRPr="00AD1F33">
              <w:rPr>
                <w:rFonts w:ascii="Arial" w:hAnsi="Arial" w:cs="Arial"/>
                <w:noProof/>
                <w:webHidden/>
              </w:rPr>
              <w:fldChar w:fldCharType="end"/>
            </w:r>
          </w:hyperlink>
          <w:r w:rsidR="00D55191" w:rsidRPr="00AD1F33">
            <w:rPr>
              <w:rStyle w:val="Verzeichnissprung"/>
              <w:rFonts w:ascii="Arial" w:hAnsi="Arial" w:cs="Arial"/>
            </w:rPr>
            <w:fldChar w:fldCharType="end"/>
          </w:r>
        </w:p>
      </w:sdtContent>
    </w:sdt>
    <w:bookmarkStart w:id="0" w:name="_Toc214641421" w:displacedByCustomXml="prev"/>
    <w:p w14:paraId="6A0F3705" w14:textId="0DF7F325" w:rsidR="0078761A" w:rsidRPr="00AD1F33" w:rsidRDefault="005F4EE4">
      <w:pPr>
        <w:pStyle w:val="berschrift1"/>
        <w:spacing w:before="240" w:after="240" w:line="360" w:lineRule="auto"/>
        <w:ind w:hanging="567"/>
        <w:rPr>
          <w:rFonts w:ascii="Arial" w:hAnsi="Arial" w:cs="Arial"/>
        </w:rPr>
      </w:pPr>
      <w:bookmarkStart w:id="1" w:name="_Toc230266740"/>
      <w:r w:rsidRPr="00AD1F33">
        <w:rPr>
          <w:rFonts w:ascii="Arial" w:hAnsi="Arial" w:cs="Arial"/>
        </w:rPr>
        <w:lastRenderedPageBreak/>
        <w:t>Zusammenfassende Beschreibung des Vergabeverfahrens</w:t>
      </w:r>
      <w:bookmarkEnd w:id="0"/>
      <w:bookmarkEnd w:id="1"/>
    </w:p>
    <w:p w14:paraId="7FF2CD75" w14:textId="0202D10C" w:rsidR="00136A49" w:rsidRPr="00AD1F33" w:rsidRDefault="00136A49" w:rsidP="00136A49">
      <w:pPr>
        <w:pStyle w:val="StandardWeb"/>
        <w:spacing w:before="120" w:after="120" w:line="360" w:lineRule="auto"/>
        <w:ind w:left="567"/>
        <w:jc w:val="both"/>
        <w:rPr>
          <w:rFonts w:ascii="Arial" w:hAnsi="Arial" w:cs="Arial"/>
          <w:sz w:val="22"/>
          <w:szCs w:val="22"/>
        </w:rPr>
      </w:pPr>
      <w:bookmarkStart w:id="2" w:name="_Toc214641422"/>
      <w:r w:rsidRPr="00AD1F33">
        <w:rPr>
          <w:rFonts w:ascii="Arial" w:hAnsi="Arial" w:cs="Arial"/>
          <w:sz w:val="22"/>
          <w:szCs w:val="22"/>
        </w:rPr>
        <w:t>Die Versorgungsbetriebe Hoyerswerda GmbH (nachfolgend „</w:t>
      </w:r>
      <w:r w:rsidRPr="00AD1F33">
        <w:rPr>
          <w:rFonts w:ascii="Arial" w:hAnsi="Arial" w:cs="Arial"/>
          <w:b/>
          <w:sz w:val="22"/>
          <w:szCs w:val="22"/>
        </w:rPr>
        <w:t>VBH</w:t>
      </w:r>
      <w:r w:rsidRPr="00AD1F33">
        <w:rPr>
          <w:rFonts w:ascii="Arial" w:hAnsi="Arial" w:cs="Arial"/>
          <w:sz w:val="22"/>
          <w:szCs w:val="22"/>
        </w:rPr>
        <w:t>" oder „</w:t>
      </w:r>
      <w:r w:rsidRPr="00AD1F33">
        <w:rPr>
          <w:rFonts w:ascii="Arial" w:hAnsi="Arial" w:cs="Arial"/>
          <w:b/>
          <w:sz w:val="22"/>
          <w:szCs w:val="22"/>
        </w:rPr>
        <w:t>Auftraggeberin</w:t>
      </w:r>
      <w:r w:rsidRPr="00AD1F33">
        <w:rPr>
          <w:rFonts w:ascii="Arial" w:hAnsi="Arial" w:cs="Arial"/>
          <w:sz w:val="22"/>
          <w:szCs w:val="22"/>
        </w:rPr>
        <w:t>") ist ein kommunales Versorgungsunternehmen mit Sitz in Hoyerswerda (AG Dresden, HRB 8333). Gegenstand des Unternehmens ist die Versorgung der Stadt Hoyerswerda und der umliegenden Region mit Fernwärme und Trinkwasser sowie weiteren Versorgungsdienstleistungen.</w:t>
      </w:r>
    </w:p>
    <w:p w14:paraId="20C10E39" w14:textId="77777777" w:rsidR="00136A49" w:rsidRPr="00AD1F33" w:rsidRDefault="00136A49" w:rsidP="00136A49">
      <w:pPr>
        <w:pStyle w:val="StandardWeb"/>
        <w:spacing w:before="120" w:after="120" w:line="360" w:lineRule="auto"/>
        <w:ind w:left="567"/>
        <w:jc w:val="both"/>
        <w:rPr>
          <w:rFonts w:ascii="Arial" w:hAnsi="Arial" w:cs="Arial"/>
          <w:sz w:val="22"/>
          <w:szCs w:val="22"/>
        </w:rPr>
      </w:pPr>
      <w:r w:rsidRPr="00AD1F33">
        <w:rPr>
          <w:rFonts w:ascii="Arial" w:hAnsi="Arial" w:cs="Arial"/>
          <w:sz w:val="22"/>
          <w:szCs w:val="22"/>
        </w:rPr>
        <w:t xml:space="preserve">Im Rahmen einer geotechnischen Standsicherheitsuntersuchung, veranlasst durch die Lausitzer und Mitteldeutsche Bergbau-Verwaltungsgesellschaft mbH (LMBV), wurden für die auf dem </w:t>
      </w:r>
      <w:proofErr w:type="spellStart"/>
      <w:r w:rsidRPr="00AD1F33">
        <w:rPr>
          <w:rFonts w:ascii="Arial" w:hAnsi="Arial" w:cs="Arial"/>
          <w:sz w:val="22"/>
          <w:szCs w:val="22"/>
        </w:rPr>
        <w:t>Kippengelände</w:t>
      </w:r>
      <w:proofErr w:type="spellEnd"/>
      <w:r w:rsidRPr="00AD1F33">
        <w:rPr>
          <w:rFonts w:ascii="Arial" w:hAnsi="Arial" w:cs="Arial"/>
          <w:sz w:val="22"/>
          <w:szCs w:val="22"/>
        </w:rPr>
        <w:t xml:space="preserve"> des ehemaligen Tagebaus Brigitta verlaufende Bundesstraße B97, die Staatsstraße S130 sowie mehrere im Bearbeitungsgebiet befindliche Medienleitungen mit überregionaler Bedeutung geotechnische Gefährdungen bewertet. Für das verflüssigungsgefährdete, wassergesättigte </w:t>
      </w:r>
      <w:proofErr w:type="spellStart"/>
      <w:r w:rsidRPr="00AD1F33">
        <w:rPr>
          <w:rFonts w:ascii="Arial" w:hAnsi="Arial" w:cs="Arial"/>
          <w:sz w:val="22"/>
          <w:szCs w:val="22"/>
        </w:rPr>
        <w:t>Kippenmaterial</w:t>
      </w:r>
      <w:proofErr w:type="spellEnd"/>
      <w:r w:rsidRPr="00AD1F33">
        <w:rPr>
          <w:rFonts w:ascii="Arial" w:hAnsi="Arial" w:cs="Arial"/>
          <w:sz w:val="22"/>
          <w:szCs w:val="22"/>
        </w:rPr>
        <w:t xml:space="preserve"> können unter den maßgebenden Belastungen und Grundwasserständen für die Medienleitungen ausreichende Grundwasserflurabstände und Grundbruchsicherheiten nur in Teilbereichen nachgewiesen werden. Im Ergebnis dieser Gefährdungsbewertung besteht zur Herstellung der geotechnischen Sicherheit die Notwendigkeit von Sanierungsmaßnahmen.</w:t>
      </w:r>
    </w:p>
    <w:p w14:paraId="294B58FB" w14:textId="77777777" w:rsidR="00136A49" w:rsidRPr="00AD1F33" w:rsidRDefault="00136A49" w:rsidP="00136A49">
      <w:pPr>
        <w:pStyle w:val="StandardWeb"/>
        <w:spacing w:before="120" w:after="120" w:line="360" w:lineRule="auto"/>
        <w:ind w:left="567"/>
        <w:jc w:val="both"/>
        <w:rPr>
          <w:rFonts w:ascii="Arial" w:hAnsi="Arial" w:cs="Arial"/>
          <w:sz w:val="22"/>
          <w:szCs w:val="22"/>
        </w:rPr>
      </w:pPr>
      <w:r w:rsidRPr="00AD1F33">
        <w:rPr>
          <w:rFonts w:ascii="Arial" w:hAnsi="Arial" w:cs="Arial"/>
          <w:sz w:val="22"/>
          <w:szCs w:val="22"/>
        </w:rPr>
        <w:t>Im Sanierungsbereich befinden sich Fernwärmeleitungen (Vor- und Rücklauf) zur Versorgung der Stadt Hoyerswerda mit Wärme sowie eine Trinkwasserleitung (Leitungsname: Laubag 2), die Bestandteil des Trinkwasserverbunds Lausitzer Revier ist. Für beide Medienleitungen ist festzustellen, dass diese wegen ihrer Bedeutung für die Versorgung mit Fernwärme bzw. Trinkwasser für die Dauer der bergbaulichen Sanierungsmaßnahmen der B97 und S130 nicht außer Betrieb genommen werden können. Die Maßnahmen dienen einerseits der Sicherung der Versorgung der Stadt Hoyerswerda mit Fernwärme und sind andererseits Teil der Sicherung einer vom Bergbau unabhängigen Trinkwasserversorgung im Trinkwasserverbundsystem Lausitzer Revier.</w:t>
      </w:r>
    </w:p>
    <w:p w14:paraId="2692007C" w14:textId="2F794400" w:rsidR="00AA6E82" w:rsidRPr="00AD1F33" w:rsidRDefault="00136A49" w:rsidP="00136A49">
      <w:pPr>
        <w:pStyle w:val="StandardWeb"/>
        <w:spacing w:before="120" w:beforeAutospacing="0" w:after="120" w:afterAutospacing="0" w:line="360" w:lineRule="auto"/>
        <w:ind w:left="567"/>
        <w:jc w:val="both"/>
        <w:rPr>
          <w:rFonts w:ascii="Arial" w:hAnsi="Arial" w:cs="Arial"/>
        </w:rPr>
      </w:pPr>
      <w:r w:rsidRPr="00AD1F33">
        <w:rPr>
          <w:rFonts w:ascii="Arial" w:hAnsi="Arial" w:cs="Arial"/>
          <w:sz w:val="22"/>
          <w:szCs w:val="22"/>
        </w:rPr>
        <w:t xml:space="preserve">Im Rahmen der Planung der erforderlichen Sicherungsmaßnahmen führt die Auftraggeberin ein EU-weites offenes Verfahren gemäß §§ 73 ff. VgV zur Vergabe von Architekten- und Ingenieurleistungen durch. Die Leistungen entsprechen dem Leistungsbild „Objektplanung" für Ingenieurbauwerke nach den §§ 41–45 HOAI 2021. </w:t>
      </w:r>
      <w:r w:rsidRPr="00AD1F33">
        <w:rPr>
          <w:rFonts w:ascii="Arial" w:hAnsi="Arial" w:cs="Arial"/>
          <w:sz w:val="22"/>
          <w:szCs w:val="22"/>
        </w:rPr>
        <w:lastRenderedPageBreak/>
        <w:t>Die vorliegende Ausschreibung umfasst Planungsleistungen der Leistungsphasen 1–6 für beide Medienobjekte (Fernwärme und Trinkwasser) als einheitlicher Gesamtauftrag, der als planerische und technische Grundlage für die nachfolgende Ausschreibung der Bauleistungen zur Mediensicherung erforderlich ist.</w:t>
      </w:r>
      <w:r w:rsidR="00646F4B" w:rsidRPr="00AD1F33">
        <w:rPr>
          <w:rFonts w:ascii="Arial" w:hAnsi="Arial" w:cs="Arial"/>
          <w:sz w:val="22"/>
          <w:szCs w:val="22"/>
        </w:rPr>
        <w:t xml:space="preserve"> </w:t>
      </w:r>
    </w:p>
    <w:p w14:paraId="6A0F3711" w14:textId="1214F945" w:rsidR="0078761A" w:rsidRPr="00AD1F33" w:rsidRDefault="005F4EE4">
      <w:pPr>
        <w:pStyle w:val="berschrift1"/>
        <w:spacing w:before="240" w:after="240" w:line="360" w:lineRule="auto"/>
        <w:ind w:hanging="567"/>
        <w:rPr>
          <w:rFonts w:ascii="Arial" w:hAnsi="Arial" w:cs="Arial"/>
        </w:rPr>
      </w:pPr>
      <w:bookmarkStart w:id="3" w:name="_Toc230266741"/>
      <w:r w:rsidRPr="00AD1F33">
        <w:rPr>
          <w:rFonts w:ascii="Arial" w:hAnsi="Arial" w:cs="Arial"/>
        </w:rPr>
        <w:t>Leistungsgegenstand</w:t>
      </w:r>
      <w:bookmarkEnd w:id="2"/>
      <w:bookmarkEnd w:id="3"/>
    </w:p>
    <w:p w14:paraId="2541D32B" w14:textId="2C4E1D5F" w:rsidR="004D2017" w:rsidRPr="00AD1F33" w:rsidRDefault="004D2017" w:rsidP="004D2017">
      <w:pPr>
        <w:spacing w:before="120" w:after="120" w:line="360" w:lineRule="auto"/>
        <w:ind w:left="567"/>
        <w:rPr>
          <w:rFonts w:ascii="Arial" w:hAnsi="Arial" w:cs="Arial"/>
        </w:rPr>
      </w:pPr>
      <w:r w:rsidRPr="00AD1F33">
        <w:rPr>
          <w:rFonts w:ascii="Arial" w:hAnsi="Arial" w:cs="Arial"/>
        </w:rPr>
        <w:t>Gegenstand des Auftrags sind Objektplanungsleistungen im Leistungsbild Ingenieurbauwerke gemäß §§ 41–45 HOAI 2021, Leistungsphasen 1–6, für die Sicherung der Fernwärmeleitung (Vor- und Rücklauf DN 400, ca. 4.500 m) sowie der Trinkwasserleitung (Stahlleitung DN 500, Laubag 2, ca. 3.000 m) im Bereich der bergbaulichen Sanierung der B97 und S130. Die Leistungen gliedern sich in zwei aufeinander aufbauende Stufen:</w:t>
      </w:r>
    </w:p>
    <w:p w14:paraId="27E46885" w14:textId="77777777" w:rsidR="004D2017" w:rsidRPr="00AD1F33" w:rsidRDefault="004D2017" w:rsidP="004D2017">
      <w:pPr>
        <w:spacing w:before="120" w:after="120" w:line="360" w:lineRule="auto"/>
        <w:ind w:left="567"/>
        <w:rPr>
          <w:rFonts w:ascii="Arial" w:hAnsi="Arial" w:cs="Arial"/>
          <w:b/>
        </w:rPr>
      </w:pPr>
      <w:r w:rsidRPr="00AD1F33">
        <w:rPr>
          <w:rFonts w:ascii="Arial" w:hAnsi="Arial" w:cs="Arial"/>
          <w:b/>
        </w:rPr>
        <w:t xml:space="preserve">Stufe 1 – Grundlagenermittlung, Vorplanung und Entwurfsplanung (LP 1–3): </w:t>
      </w:r>
    </w:p>
    <w:p w14:paraId="694EE6EB" w14:textId="5630C437" w:rsidR="004D2017" w:rsidRPr="00AD1F33" w:rsidRDefault="004D2017" w:rsidP="004D2017">
      <w:pPr>
        <w:spacing w:before="120" w:after="120" w:line="360" w:lineRule="auto"/>
        <w:ind w:left="567"/>
        <w:rPr>
          <w:rFonts w:ascii="Arial" w:hAnsi="Arial" w:cs="Arial"/>
        </w:rPr>
      </w:pPr>
      <w:r w:rsidRPr="00AD1F33">
        <w:rPr>
          <w:rFonts w:ascii="Arial" w:hAnsi="Arial" w:cs="Arial"/>
        </w:rPr>
        <w:t>Auf Grundlage der vorliegenden geotechnischen und betrieblichen Unterlagen sind Trassenvarianten für eine langfristig gesicherte Um- bzw. Neuverlegung beider Medienleitungen zu erarbeiten. Je Objekt sind mindestens drei Varianten einschließlich Vordimensionierung, Variantenvergleich und Wirtschaftlichkeitsvorbetrachtung zu erarbeiten und mit der Auftraggeberin sowie der LMBV abzustimmen. Erkennbare Synergien zwischen beiden Objekten sind aufzuzeigen. Die Vorzugsvariante ist anschließend entwurfsreif auszuarbeiten; der durchgehende Betrieb beider Medienleitungen bzw. erforderlicher Provisorien ist dabei bereits planerisch vorzubereiten und für die gesamte Bauausführung sicherzustellen.</w:t>
      </w:r>
    </w:p>
    <w:p w14:paraId="73B87AB7" w14:textId="77777777" w:rsidR="004D2017" w:rsidRPr="00AD1F33" w:rsidRDefault="004D2017" w:rsidP="004D2017">
      <w:pPr>
        <w:spacing w:before="120" w:after="120" w:line="360" w:lineRule="auto"/>
        <w:ind w:left="567"/>
        <w:rPr>
          <w:rFonts w:ascii="Arial" w:hAnsi="Arial" w:cs="Arial"/>
          <w:b/>
        </w:rPr>
      </w:pPr>
      <w:r w:rsidRPr="00AD1F33">
        <w:rPr>
          <w:rFonts w:ascii="Arial" w:hAnsi="Arial" w:cs="Arial"/>
          <w:b/>
        </w:rPr>
        <w:t xml:space="preserve">Stufe 2 – Genehmigungsplanung, Ausführungsplanung und Vorbereitung der Vergabe (LP 4–6): </w:t>
      </w:r>
    </w:p>
    <w:p w14:paraId="12FDBE75" w14:textId="2DCEDB1C" w:rsidR="004D2017" w:rsidRPr="00AD1F33" w:rsidRDefault="004D2017" w:rsidP="004D2017">
      <w:pPr>
        <w:spacing w:before="120" w:after="120" w:line="360" w:lineRule="auto"/>
        <w:ind w:left="567"/>
        <w:rPr>
          <w:rFonts w:ascii="Arial" w:hAnsi="Arial" w:cs="Arial"/>
        </w:rPr>
      </w:pPr>
      <w:r w:rsidRPr="00AD1F33">
        <w:rPr>
          <w:rFonts w:ascii="Arial" w:hAnsi="Arial" w:cs="Arial"/>
        </w:rPr>
        <w:t xml:space="preserve">Im Rahmen der Genehmigungsplanung sind die erforderlichen Unterlagen für öffentlich-rechtliche Verfahren – insbesondere nach Wasserrecht und Bergrecht – zu erarbeiten und mit den zuständigen Behörden sowie der LMBV abzustimmen. Auf Grundlage der genehmigten Planung sind ausführungsreife Unterlagen zu erstellen und die Vergabeunterlagen für die nachfolgende Ausschreibung der Bauleistungen aufzustellen. Die Abstimmung der Vergabeunterlagen mit der zeitlichen Abfolge der bergbaulichen Sanierungsmaßnahmen der LMBV ist besonders zu berücksichtigen. Für die </w:t>
      </w:r>
      <w:r w:rsidRPr="00AD1F33">
        <w:rPr>
          <w:rFonts w:ascii="Arial" w:hAnsi="Arial" w:cs="Arial"/>
        </w:rPr>
        <w:lastRenderedPageBreak/>
        <w:t>Trinkwasserleitung ist darüber hinaus die Aufrechterhaltung des Kathodischen Korrosionsschutzes (KKS) in allen Bauzuständen planerisch zu gewährleisten.</w:t>
      </w:r>
    </w:p>
    <w:p w14:paraId="2B835A56" w14:textId="5BBDBC4F" w:rsidR="006F4F03" w:rsidRPr="00AD1F33" w:rsidRDefault="004D2017" w:rsidP="002300D3">
      <w:pPr>
        <w:spacing w:before="120" w:after="120" w:line="360" w:lineRule="auto"/>
        <w:ind w:left="567"/>
        <w:rPr>
          <w:rFonts w:ascii="Arial" w:hAnsi="Arial" w:cs="Arial"/>
        </w:rPr>
      </w:pPr>
      <w:r w:rsidRPr="00AD1F33">
        <w:rPr>
          <w:rFonts w:ascii="Arial" w:hAnsi="Arial" w:cs="Arial"/>
        </w:rPr>
        <w:t xml:space="preserve">Die detaillierten Anforderungen und </w:t>
      </w:r>
      <w:r w:rsidR="00AD1F33">
        <w:rPr>
          <w:rFonts w:ascii="Arial" w:hAnsi="Arial" w:cs="Arial"/>
        </w:rPr>
        <w:t xml:space="preserve">die konkrete </w:t>
      </w:r>
      <w:r w:rsidRPr="00AD1F33">
        <w:rPr>
          <w:rFonts w:ascii="Arial" w:hAnsi="Arial" w:cs="Arial"/>
        </w:rPr>
        <w:t>Leistungsbeschreibung sind den Vergabeunterlagen zu entnehmen.</w:t>
      </w:r>
    </w:p>
    <w:p w14:paraId="6A0F371D" w14:textId="77777777" w:rsidR="0078761A" w:rsidRPr="00AD1F33" w:rsidRDefault="005F4EE4">
      <w:pPr>
        <w:pStyle w:val="berschrift1"/>
        <w:spacing w:before="240" w:after="240" w:line="360" w:lineRule="auto"/>
        <w:ind w:hanging="567"/>
        <w:rPr>
          <w:rFonts w:ascii="Arial" w:hAnsi="Arial" w:cs="Arial"/>
        </w:rPr>
      </w:pPr>
      <w:bookmarkStart w:id="4" w:name="_Toc214641423"/>
      <w:bookmarkStart w:id="5" w:name="_Toc230266742"/>
      <w:r w:rsidRPr="00AD1F33">
        <w:rPr>
          <w:rFonts w:ascii="Arial" w:hAnsi="Arial" w:cs="Arial"/>
        </w:rPr>
        <w:t>Verfahrensgrundsätze</w:t>
      </w:r>
      <w:bookmarkEnd w:id="4"/>
      <w:bookmarkEnd w:id="5"/>
      <w:r w:rsidRPr="00AD1F33">
        <w:rPr>
          <w:rFonts w:ascii="Arial" w:hAnsi="Arial" w:cs="Arial"/>
        </w:rPr>
        <w:t xml:space="preserve"> </w:t>
      </w:r>
    </w:p>
    <w:p w14:paraId="6A0F371E" w14:textId="1FDA569E" w:rsidR="0078761A" w:rsidRPr="00AD1F33" w:rsidRDefault="00D54343">
      <w:pPr>
        <w:spacing w:before="120" w:after="120" w:line="360" w:lineRule="auto"/>
        <w:ind w:left="567"/>
        <w:rPr>
          <w:rFonts w:ascii="Arial" w:hAnsi="Arial" w:cs="Arial"/>
        </w:rPr>
      </w:pPr>
      <w:r w:rsidRPr="00AD1F33">
        <w:rPr>
          <w:rFonts w:ascii="Arial" w:hAnsi="Arial" w:cs="Arial"/>
        </w:rPr>
        <w:t>Dieser Verfahrensleitfaden sowie dessen Anlagen enthalten Regelungen zum Verfahrensablauf, zu den Anforderungen an die Angebote, den Eignungs- und Zuschlagskriterien sowie der Bewertung der Angebote. Sie gelten fort, soweit den Bietern nicht im weiteren Verlauf des Vergabeverfahrens abweichende, ergänzende oder konkretisierende Informationen mitgeteilt werden.</w:t>
      </w:r>
    </w:p>
    <w:p w14:paraId="6A0F371F"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6" w:name="_Toc214641424"/>
      <w:bookmarkStart w:id="7" w:name="_Toc230266743"/>
      <w:r w:rsidRPr="00AD1F33">
        <w:rPr>
          <w:rFonts w:ascii="Arial" w:hAnsi="Arial" w:cs="Arial"/>
        </w:rPr>
        <w:t>Verfahrensart</w:t>
      </w:r>
      <w:bookmarkEnd w:id="6"/>
      <w:bookmarkEnd w:id="7"/>
    </w:p>
    <w:p w14:paraId="6A0F3720" w14:textId="23CDCEF9" w:rsidR="0078761A" w:rsidRPr="00AD1F33" w:rsidRDefault="001003B1">
      <w:pPr>
        <w:spacing w:before="120" w:after="120" w:line="360" w:lineRule="auto"/>
        <w:ind w:left="567"/>
        <w:rPr>
          <w:rFonts w:ascii="Arial" w:hAnsi="Arial" w:cs="Arial"/>
        </w:rPr>
      </w:pPr>
      <w:r w:rsidRPr="00AD1F33">
        <w:rPr>
          <w:rFonts w:ascii="Arial" w:hAnsi="Arial" w:cs="Arial"/>
        </w:rPr>
        <w:t>Die Leistung wird im Rahmen eines offenen Verfahrens mit vorheriger Auftragsbekanntmachung im Amtsblatt der Europäischen Union gemäß § 15 VgV ausgeschrieben.</w:t>
      </w:r>
    </w:p>
    <w:p w14:paraId="6A0F3721"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8" w:name="_Toc214641425"/>
      <w:bookmarkStart w:id="9" w:name="_Toc230266744"/>
      <w:r w:rsidRPr="00AD1F33">
        <w:rPr>
          <w:rFonts w:ascii="Arial" w:hAnsi="Arial" w:cs="Arial"/>
        </w:rPr>
        <w:t>Auftraggeberin und Kontaktstelle</w:t>
      </w:r>
      <w:bookmarkEnd w:id="8"/>
      <w:bookmarkEnd w:id="9"/>
    </w:p>
    <w:p w14:paraId="6A0F3722" w14:textId="77777777" w:rsidR="0078761A" w:rsidRPr="00AD1F33" w:rsidRDefault="005F4EE4">
      <w:pPr>
        <w:spacing w:before="240" w:after="240" w:line="360" w:lineRule="auto"/>
        <w:ind w:left="567"/>
        <w:rPr>
          <w:rFonts w:ascii="Arial" w:hAnsi="Arial" w:cs="Arial"/>
          <w:bCs/>
        </w:rPr>
      </w:pPr>
      <w:r w:rsidRPr="00AD1F33">
        <w:rPr>
          <w:rFonts w:ascii="Arial" w:hAnsi="Arial" w:cs="Arial"/>
          <w:bCs/>
        </w:rPr>
        <w:t xml:space="preserve">Auftraggeberin ist die </w:t>
      </w:r>
    </w:p>
    <w:p w14:paraId="098BCE26" w14:textId="77777777" w:rsidR="00C240BD" w:rsidRPr="00AD1F33" w:rsidRDefault="00C240BD" w:rsidP="00C240BD">
      <w:pPr>
        <w:spacing w:before="120" w:after="120" w:line="360" w:lineRule="auto"/>
        <w:ind w:left="851"/>
        <w:rPr>
          <w:rFonts w:ascii="Arial" w:hAnsi="Arial" w:cs="Arial"/>
          <w:b/>
        </w:rPr>
      </w:pPr>
      <w:r w:rsidRPr="00AD1F33">
        <w:rPr>
          <w:rFonts w:ascii="Arial" w:hAnsi="Arial" w:cs="Arial"/>
          <w:b/>
        </w:rPr>
        <w:t>Versorgungsbetriebe Hoyerswerda GmbH</w:t>
      </w:r>
    </w:p>
    <w:p w14:paraId="0836FCA5" w14:textId="3F6891DE" w:rsidR="00C240BD" w:rsidRPr="00AD1F33" w:rsidRDefault="00DE5338" w:rsidP="00DE5338">
      <w:pPr>
        <w:spacing w:before="120" w:after="120" w:line="360" w:lineRule="auto"/>
        <w:ind w:left="851"/>
        <w:rPr>
          <w:rFonts w:ascii="Arial" w:hAnsi="Arial" w:cs="Arial"/>
          <w:b/>
        </w:rPr>
      </w:pPr>
      <w:r w:rsidRPr="00AD1F33">
        <w:rPr>
          <w:rFonts w:ascii="Arial" w:hAnsi="Arial" w:cs="Arial"/>
          <w:b/>
        </w:rPr>
        <w:t>Straße A Nr.7, 02977 Hoyerswerda</w:t>
      </w:r>
    </w:p>
    <w:p w14:paraId="6A0F3726" w14:textId="77777777" w:rsidR="0078761A" w:rsidRPr="00AD1F33" w:rsidRDefault="005F4EE4">
      <w:pPr>
        <w:spacing w:before="240" w:after="240" w:line="360" w:lineRule="auto"/>
        <w:ind w:left="567"/>
        <w:rPr>
          <w:rFonts w:ascii="Arial" w:hAnsi="Arial" w:cs="Arial"/>
          <w:bCs/>
        </w:rPr>
      </w:pPr>
      <w:r w:rsidRPr="00AD1F33">
        <w:rPr>
          <w:rFonts w:ascii="Arial" w:hAnsi="Arial" w:cs="Arial"/>
          <w:bCs/>
        </w:rPr>
        <w:t xml:space="preserve">Kontaktstelle im Vergabeverfahren ist </w:t>
      </w:r>
    </w:p>
    <w:p w14:paraId="6A0F3727" w14:textId="77777777" w:rsidR="0078761A" w:rsidRPr="00AD1F33" w:rsidRDefault="005F4EE4">
      <w:pPr>
        <w:spacing w:before="120" w:after="120" w:line="360" w:lineRule="auto"/>
        <w:ind w:left="851"/>
        <w:rPr>
          <w:rFonts w:ascii="Arial" w:hAnsi="Arial" w:cs="Arial"/>
          <w:b/>
        </w:rPr>
      </w:pPr>
      <w:r w:rsidRPr="00AD1F33">
        <w:rPr>
          <w:rFonts w:ascii="Arial" w:hAnsi="Arial" w:cs="Arial"/>
          <w:b/>
        </w:rPr>
        <w:t>Forvis Mazars Rechtsanwaltsgesellschaft mbH</w:t>
      </w:r>
    </w:p>
    <w:p w14:paraId="6A0F3728" w14:textId="77777777" w:rsidR="0078761A" w:rsidRPr="00AD1F33" w:rsidRDefault="005F4EE4">
      <w:pPr>
        <w:spacing w:before="120" w:after="120" w:line="360" w:lineRule="auto"/>
        <w:ind w:left="851"/>
        <w:rPr>
          <w:rFonts w:ascii="Arial" w:hAnsi="Arial" w:cs="Arial"/>
          <w:b/>
        </w:rPr>
      </w:pPr>
      <w:r w:rsidRPr="00AD1F33">
        <w:rPr>
          <w:rFonts w:ascii="Arial" w:hAnsi="Arial" w:cs="Arial"/>
          <w:b/>
        </w:rPr>
        <w:t>Alt-Moabit 2, 10557 Berlin</w:t>
      </w:r>
    </w:p>
    <w:p w14:paraId="6A0F3729"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10" w:name="_Toc214641426"/>
      <w:bookmarkStart w:id="11" w:name="_Toc230266745"/>
      <w:r w:rsidRPr="00AD1F33">
        <w:rPr>
          <w:rFonts w:ascii="Arial" w:hAnsi="Arial" w:cs="Arial"/>
        </w:rPr>
        <w:t>Vergabeunterlagen</w:t>
      </w:r>
      <w:bookmarkEnd w:id="10"/>
      <w:bookmarkEnd w:id="11"/>
    </w:p>
    <w:p w14:paraId="6A0F372A" w14:textId="136EFB8C" w:rsidR="0078761A" w:rsidRPr="00AD1F33" w:rsidRDefault="00C364F7">
      <w:pPr>
        <w:spacing w:before="120" w:after="120" w:line="360" w:lineRule="auto"/>
        <w:ind w:left="567"/>
        <w:rPr>
          <w:rFonts w:ascii="Arial" w:hAnsi="Arial" w:cs="Arial"/>
        </w:rPr>
      </w:pPr>
      <w:r w:rsidRPr="00AD1F33">
        <w:rPr>
          <w:rFonts w:ascii="Arial" w:hAnsi="Arial" w:cs="Arial"/>
        </w:rPr>
        <w:t>Die Vergabeunterlagen sind in drei Hauptteile gegliedert: Teil 1 (Verfahrensunterlagen), Teil 2 (Angebotsunterlagen) und Teil 3 (Vertragsunterlagen). Mit dem Angebot einzureichen sind nur die Angebotsunterlagen (Teil 2). Die Vergabeunterlagen bestehen aus folgenden Unterlagen:</w:t>
      </w:r>
    </w:p>
    <w:tbl>
      <w:tblPr>
        <w:tblStyle w:val="Tabellenraster"/>
        <w:tblW w:w="8496" w:type="dxa"/>
        <w:tblInd w:w="567" w:type="dxa"/>
        <w:tblLayout w:type="fixed"/>
        <w:tblLook w:val="04A0" w:firstRow="1" w:lastRow="0" w:firstColumn="1" w:lastColumn="0" w:noHBand="0" w:noVBand="1"/>
      </w:tblPr>
      <w:tblGrid>
        <w:gridCol w:w="1129"/>
        <w:gridCol w:w="7367"/>
      </w:tblGrid>
      <w:tr w:rsidR="0078761A" w:rsidRPr="00AD1F33" w14:paraId="6A0F372C" w14:textId="77777777">
        <w:tc>
          <w:tcPr>
            <w:tcW w:w="8496" w:type="dxa"/>
            <w:gridSpan w:val="2"/>
          </w:tcPr>
          <w:p w14:paraId="6A0F372B" w14:textId="77777777" w:rsidR="0078761A" w:rsidRPr="00AD1F33" w:rsidRDefault="005F4EE4" w:rsidP="00C364F7">
            <w:pPr>
              <w:pStyle w:val="Default"/>
              <w:keepNext/>
              <w:spacing w:before="240" w:after="240" w:line="360" w:lineRule="auto"/>
              <w:jc w:val="both"/>
              <w:rPr>
                <w:b/>
                <w:bCs/>
                <w:sz w:val="22"/>
                <w:szCs w:val="22"/>
              </w:rPr>
            </w:pPr>
            <w:r w:rsidRPr="00AD1F33">
              <w:rPr>
                <w:b/>
                <w:bCs/>
                <w:sz w:val="22"/>
                <w:szCs w:val="22"/>
              </w:rPr>
              <w:lastRenderedPageBreak/>
              <w:t xml:space="preserve">Teil 1 – Verfahrensunterlagen </w:t>
            </w:r>
          </w:p>
        </w:tc>
      </w:tr>
      <w:tr w:rsidR="0078761A" w:rsidRPr="00AD1F33" w14:paraId="6A0F372F" w14:textId="77777777">
        <w:tc>
          <w:tcPr>
            <w:tcW w:w="1129" w:type="dxa"/>
          </w:tcPr>
          <w:p w14:paraId="6A0F372D"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1.1 </w:t>
            </w:r>
          </w:p>
        </w:tc>
        <w:tc>
          <w:tcPr>
            <w:tcW w:w="7367" w:type="dxa"/>
          </w:tcPr>
          <w:p w14:paraId="6A0F372E"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Ausschreibungsbedingungen </w:t>
            </w:r>
          </w:p>
        </w:tc>
      </w:tr>
      <w:tr w:rsidR="0078761A" w:rsidRPr="00AD1F33" w14:paraId="6A0F3735" w14:textId="77777777">
        <w:tc>
          <w:tcPr>
            <w:tcW w:w="1129" w:type="dxa"/>
          </w:tcPr>
          <w:p w14:paraId="6A0F3733" w14:textId="69563594"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1.</w:t>
            </w:r>
            <w:r w:rsidR="00AD0EA3" w:rsidRPr="00AD1F33">
              <w:rPr>
                <w:rFonts w:ascii="Arial" w:hAnsi="Arial" w:cs="Arial"/>
                <w:b/>
                <w:bCs/>
                <w:szCs w:val="22"/>
              </w:rPr>
              <w:t>2</w:t>
            </w:r>
            <w:r w:rsidRPr="00AD1F33">
              <w:rPr>
                <w:rFonts w:ascii="Arial" w:hAnsi="Arial" w:cs="Arial"/>
                <w:b/>
                <w:bCs/>
                <w:szCs w:val="22"/>
              </w:rPr>
              <w:t xml:space="preserve"> </w:t>
            </w:r>
          </w:p>
        </w:tc>
        <w:tc>
          <w:tcPr>
            <w:tcW w:w="7367" w:type="dxa"/>
          </w:tcPr>
          <w:p w14:paraId="6A0F3734"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Formblatt Bieterfragen </w:t>
            </w:r>
          </w:p>
        </w:tc>
      </w:tr>
      <w:tr w:rsidR="00351ACB" w:rsidRPr="00AD1F33" w14:paraId="342E6C32" w14:textId="77777777">
        <w:tc>
          <w:tcPr>
            <w:tcW w:w="1129" w:type="dxa"/>
          </w:tcPr>
          <w:p w14:paraId="591FB92A" w14:textId="1EDF8240" w:rsidR="00351ACB" w:rsidRPr="00AD1F33" w:rsidRDefault="00351ACB">
            <w:pPr>
              <w:spacing w:before="120" w:after="120" w:line="360" w:lineRule="auto"/>
              <w:rPr>
                <w:rFonts w:ascii="Arial" w:hAnsi="Arial" w:cs="Arial"/>
                <w:b/>
                <w:bCs/>
                <w:szCs w:val="22"/>
              </w:rPr>
            </w:pPr>
            <w:r w:rsidRPr="00AD1F33">
              <w:rPr>
                <w:rFonts w:ascii="Arial" w:hAnsi="Arial" w:cs="Arial"/>
                <w:b/>
                <w:bCs/>
                <w:szCs w:val="22"/>
              </w:rPr>
              <w:t>1.3</w:t>
            </w:r>
          </w:p>
        </w:tc>
        <w:tc>
          <w:tcPr>
            <w:tcW w:w="7367" w:type="dxa"/>
          </w:tcPr>
          <w:p w14:paraId="310F54A1" w14:textId="255A8676" w:rsidR="00351ACB" w:rsidRPr="00AD1F33" w:rsidRDefault="00351ACB">
            <w:pPr>
              <w:spacing w:before="120" w:after="120" w:line="360" w:lineRule="auto"/>
              <w:rPr>
                <w:rFonts w:ascii="Arial" w:hAnsi="Arial" w:cs="Arial"/>
                <w:b/>
                <w:bCs/>
                <w:szCs w:val="22"/>
              </w:rPr>
            </w:pPr>
            <w:r w:rsidRPr="00AD1F33">
              <w:rPr>
                <w:rFonts w:ascii="Arial" w:hAnsi="Arial" w:cs="Arial"/>
                <w:b/>
                <w:bCs/>
                <w:szCs w:val="22"/>
              </w:rPr>
              <w:t>Leistungsbeschreibung</w:t>
            </w:r>
          </w:p>
        </w:tc>
      </w:tr>
      <w:tr w:rsidR="0078761A" w:rsidRPr="00AD1F33" w14:paraId="6A0F373A" w14:textId="77777777">
        <w:tc>
          <w:tcPr>
            <w:tcW w:w="8496" w:type="dxa"/>
            <w:gridSpan w:val="2"/>
          </w:tcPr>
          <w:p w14:paraId="6A0F3739" w14:textId="77777777" w:rsidR="0078761A" w:rsidRPr="00AD1F33" w:rsidRDefault="005F4EE4">
            <w:pPr>
              <w:pStyle w:val="Default"/>
              <w:spacing w:before="240" w:after="240" w:line="360" w:lineRule="auto"/>
              <w:jc w:val="both"/>
              <w:rPr>
                <w:b/>
                <w:bCs/>
                <w:sz w:val="22"/>
                <w:szCs w:val="22"/>
              </w:rPr>
            </w:pPr>
            <w:r w:rsidRPr="00AD1F33">
              <w:rPr>
                <w:b/>
                <w:bCs/>
                <w:sz w:val="22"/>
                <w:szCs w:val="22"/>
              </w:rPr>
              <w:t>Teil 2 – Angebotsunterlagen</w:t>
            </w:r>
          </w:p>
        </w:tc>
      </w:tr>
      <w:tr w:rsidR="0078761A" w:rsidRPr="00AD1F33" w14:paraId="6A0F373D" w14:textId="77777777">
        <w:tc>
          <w:tcPr>
            <w:tcW w:w="1129" w:type="dxa"/>
          </w:tcPr>
          <w:p w14:paraId="6A0F373B"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2.1 </w:t>
            </w:r>
          </w:p>
        </w:tc>
        <w:tc>
          <w:tcPr>
            <w:tcW w:w="7367" w:type="dxa"/>
          </w:tcPr>
          <w:p w14:paraId="6A0F373C"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Angebotsschreiben </w:t>
            </w:r>
          </w:p>
        </w:tc>
      </w:tr>
      <w:tr w:rsidR="00995491" w:rsidRPr="00AD1F33" w14:paraId="0FECCF89" w14:textId="77777777">
        <w:tc>
          <w:tcPr>
            <w:tcW w:w="1129" w:type="dxa"/>
          </w:tcPr>
          <w:p w14:paraId="30A4CC34" w14:textId="737B4119" w:rsidR="00995491" w:rsidRPr="00AD1F33" w:rsidRDefault="00995491">
            <w:pPr>
              <w:spacing w:before="120" w:after="120" w:line="360" w:lineRule="auto"/>
              <w:rPr>
                <w:rFonts w:ascii="Arial" w:hAnsi="Arial" w:cs="Arial"/>
                <w:b/>
                <w:bCs/>
                <w:szCs w:val="22"/>
              </w:rPr>
            </w:pPr>
            <w:r w:rsidRPr="00AD1F33">
              <w:rPr>
                <w:rFonts w:ascii="Arial" w:hAnsi="Arial" w:cs="Arial"/>
                <w:b/>
                <w:bCs/>
                <w:szCs w:val="22"/>
              </w:rPr>
              <w:t>2.2</w:t>
            </w:r>
          </w:p>
        </w:tc>
        <w:tc>
          <w:tcPr>
            <w:tcW w:w="7367" w:type="dxa"/>
          </w:tcPr>
          <w:p w14:paraId="3D3AB2DE" w14:textId="0057A4C6" w:rsidR="00995491" w:rsidRPr="00AD1F33" w:rsidRDefault="00351ACB">
            <w:pPr>
              <w:spacing w:before="120" w:after="120" w:line="360" w:lineRule="auto"/>
              <w:rPr>
                <w:rFonts w:ascii="Arial" w:hAnsi="Arial" w:cs="Arial"/>
                <w:b/>
                <w:bCs/>
                <w:szCs w:val="22"/>
              </w:rPr>
            </w:pPr>
            <w:r w:rsidRPr="00AD1F33">
              <w:rPr>
                <w:rFonts w:ascii="Arial" w:hAnsi="Arial" w:cs="Arial"/>
                <w:b/>
                <w:bCs/>
                <w:szCs w:val="22"/>
              </w:rPr>
              <w:t>Preisblatt</w:t>
            </w:r>
          </w:p>
        </w:tc>
      </w:tr>
      <w:tr w:rsidR="0078761A" w:rsidRPr="00AD1F33" w14:paraId="6A0F3743" w14:textId="77777777">
        <w:tc>
          <w:tcPr>
            <w:tcW w:w="1129" w:type="dxa"/>
          </w:tcPr>
          <w:p w14:paraId="6A0F3741"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2.3 </w:t>
            </w:r>
          </w:p>
        </w:tc>
        <w:tc>
          <w:tcPr>
            <w:tcW w:w="7367" w:type="dxa"/>
          </w:tcPr>
          <w:p w14:paraId="6A0F3742"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Konzept zur Leistungserbringung </w:t>
            </w:r>
          </w:p>
        </w:tc>
      </w:tr>
      <w:tr w:rsidR="0078761A" w:rsidRPr="00AD1F33" w14:paraId="6A0F3746" w14:textId="77777777">
        <w:tc>
          <w:tcPr>
            <w:tcW w:w="1129" w:type="dxa"/>
          </w:tcPr>
          <w:p w14:paraId="6A0F3744"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2.4 </w:t>
            </w:r>
          </w:p>
        </w:tc>
        <w:tc>
          <w:tcPr>
            <w:tcW w:w="7367" w:type="dxa"/>
          </w:tcPr>
          <w:p w14:paraId="6A0F3745"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Eigenerklärung zu den Ausschlussgründen und zur Eignung</w:t>
            </w:r>
          </w:p>
        </w:tc>
      </w:tr>
      <w:tr w:rsidR="0078761A" w:rsidRPr="00AD1F33" w14:paraId="6A0F3749" w14:textId="77777777">
        <w:tc>
          <w:tcPr>
            <w:tcW w:w="1129" w:type="dxa"/>
          </w:tcPr>
          <w:p w14:paraId="6A0F3747"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2.5 </w:t>
            </w:r>
          </w:p>
        </w:tc>
        <w:tc>
          <w:tcPr>
            <w:tcW w:w="7367" w:type="dxa"/>
          </w:tcPr>
          <w:p w14:paraId="6A0F3748"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Referenzen</w:t>
            </w:r>
          </w:p>
        </w:tc>
      </w:tr>
      <w:tr w:rsidR="0078761A" w:rsidRPr="00AD1F33" w14:paraId="6A0F374C" w14:textId="77777777">
        <w:tc>
          <w:tcPr>
            <w:tcW w:w="1129" w:type="dxa"/>
          </w:tcPr>
          <w:p w14:paraId="6A0F374A"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2.6 </w:t>
            </w:r>
          </w:p>
        </w:tc>
        <w:tc>
          <w:tcPr>
            <w:tcW w:w="7367" w:type="dxa"/>
          </w:tcPr>
          <w:p w14:paraId="6A0F374B"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Bietergemeinschaftserklärung </w:t>
            </w:r>
          </w:p>
        </w:tc>
      </w:tr>
      <w:tr w:rsidR="0078761A" w:rsidRPr="00AD1F33" w14:paraId="6A0F374F" w14:textId="77777777">
        <w:tc>
          <w:tcPr>
            <w:tcW w:w="1129" w:type="dxa"/>
          </w:tcPr>
          <w:p w14:paraId="6A0F374D"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2.7 </w:t>
            </w:r>
          </w:p>
        </w:tc>
        <w:tc>
          <w:tcPr>
            <w:tcW w:w="7367" w:type="dxa"/>
          </w:tcPr>
          <w:p w14:paraId="6A0F374E"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Nachunternehmer und Eignungsleihe </w:t>
            </w:r>
          </w:p>
        </w:tc>
      </w:tr>
      <w:tr w:rsidR="0078761A" w:rsidRPr="00AD1F33" w14:paraId="6A0F3752" w14:textId="77777777">
        <w:tc>
          <w:tcPr>
            <w:tcW w:w="1129" w:type="dxa"/>
          </w:tcPr>
          <w:p w14:paraId="6A0F3750"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2.8 </w:t>
            </w:r>
          </w:p>
        </w:tc>
        <w:tc>
          <w:tcPr>
            <w:tcW w:w="7367" w:type="dxa"/>
          </w:tcPr>
          <w:p w14:paraId="6A0F3751"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Verpflichtungserklärung </w:t>
            </w:r>
          </w:p>
        </w:tc>
      </w:tr>
      <w:tr w:rsidR="0078761A" w:rsidRPr="00AD1F33" w14:paraId="6A0F3755" w14:textId="77777777">
        <w:tc>
          <w:tcPr>
            <w:tcW w:w="1129" w:type="dxa"/>
          </w:tcPr>
          <w:p w14:paraId="6A0F3753"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2.9</w:t>
            </w:r>
          </w:p>
        </w:tc>
        <w:tc>
          <w:tcPr>
            <w:tcW w:w="7367" w:type="dxa"/>
          </w:tcPr>
          <w:p w14:paraId="6A0F3754" w14:textId="77777777" w:rsidR="0078761A" w:rsidRPr="00AD1F33" w:rsidRDefault="005F4EE4">
            <w:pPr>
              <w:spacing w:before="120" w:after="120" w:line="360" w:lineRule="auto"/>
              <w:rPr>
                <w:rFonts w:ascii="Arial" w:hAnsi="Arial" w:cs="Arial"/>
                <w:b/>
                <w:bCs/>
                <w:szCs w:val="22"/>
              </w:rPr>
            </w:pPr>
            <w:r w:rsidRPr="00AD1F33">
              <w:rPr>
                <w:rFonts w:ascii="Arial" w:hAnsi="Arial" w:cs="Arial"/>
                <w:b/>
                <w:bCs/>
                <w:szCs w:val="22"/>
              </w:rPr>
              <w:t xml:space="preserve">Russlandsanktionen </w:t>
            </w:r>
          </w:p>
        </w:tc>
      </w:tr>
      <w:tr w:rsidR="0078761A" w:rsidRPr="00AD1F33" w14:paraId="6A0F3757" w14:textId="77777777">
        <w:tc>
          <w:tcPr>
            <w:tcW w:w="8496" w:type="dxa"/>
            <w:gridSpan w:val="2"/>
          </w:tcPr>
          <w:p w14:paraId="6A0F3756" w14:textId="77777777" w:rsidR="0078761A" w:rsidRPr="00AD1F33" w:rsidRDefault="005F4EE4">
            <w:pPr>
              <w:pStyle w:val="Default"/>
              <w:spacing w:before="240" w:after="240" w:line="360" w:lineRule="auto"/>
              <w:jc w:val="both"/>
            </w:pPr>
            <w:r w:rsidRPr="00AD1F33">
              <w:rPr>
                <w:b/>
                <w:bCs/>
                <w:sz w:val="22"/>
                <w:szCs w:val="22"/>
              </w:rPr>
              <w:t>Teil 3 – Vertragsunterlagen</w:t>
            </w:r>
          </w:p>
        </w:tc>
      </w:tr>
      <w:tr w:rsidR="0078761A" w:rsidRPr="00AD1F33" w14:paraId="6A0F375A" w14:textId="77777777">
        <w:tc>
          <w:tcPr>
            <w:tcW w:w="1129" w:type="dxa"/>
          </w:tcPr>
          <w:p w14:paraId="6A0F3758" w14:textId="77777777" w:rsidR="0078761A" w:rsidRPr="00AD1F33" w:rsidRDefault="005F4EE4">
            <w:pPr>
              <w:spacing w:before="120" w:after="120" w:line="360" w:lineRule="auto"/>
              <w:rPr>
                <w:rFonts w:ascii="Arial" w:hAnsi="Arial" w:cs="Arial"/>
                <w:b/>
                <w:bCs/>
              </w:rPr>
            </w:pPr>
            <w:r w:rsidRPr="00AD1F33">
              <w:rPr>
                <w:rFonts w:ascii="Arial" w:hAnsi="Arial" w:cs="Arial"/>
                <w:b/>
                <w:bCs/>
              </w:rPr>
              <w:t>3.1</w:t>
            </w:r>
          </w:p>
        </w:tc>
        <w:tc>
          <w:tcPr>
            <w:tcW w:w="7367" w:type="dxa"/>
          </w:tcPr>
          <w:p w14:paraId="6A0F3759" w14:textId="33CDB5DA" w:rsidR="0078761A" w:rsidRPr="00AD1F33" w:rsidRDefault="00CE37F0">
            <w:pPr>
              <w:spacing w:before="120" w:after="120" w:line="360" w:lineRule="auto"/>
              <w:rPr>
                <w:rFonts w:ascii="Arial" w:hAnsi="Arial" w:cs="Arial"/>
                <w:b/>
                <w:bCs/>
              </w:rPr>
            </w:pPr>
            <w:r w:rsidRPr="00AD1F33">
              <w:rPr>
                <w:rFonts w:ascii="Arial" w:hAnsi="Arial" w:cs="Arial"/>
                <w:b/>
                <w:bCs/>
              </w:rPr>
              <w:t>Generalplanervertrag</w:t>
            </w:r>
          </w:p>
        </w:tc>
      </w:tr>
      <w:tr w:rsidR="0078761A" w:rsidRPr="00AD1F33" w14:paraId="6A0F375D" w14:textId="77777777">
        <w:tc>
          <w:tcPr>
            <w:tcW w:w="1129" w:type="dxa"/>
          </w:tcPr>
          <w:p w14:paraId="6A0F375B" w14:textId="77777777" w:rsidR="0078761A" w:rsidRPr="00AD1F33" w:rsidRDefault="005F4EE4">
            <w:pPr>
              <w:spacing w:before="120" w:after="120" w:line="360" w:lineRule="auto"/>
              <w:rPr>
                <w:rFonts w:ascii="Arial" w:hAnsi="Arial" w:cs="Arial"/>
                <w:b/>
                <w:bCs/>
              </w:rPr>
            </w:pPr>
            <w:r w:rsidRPr="00AD1F33">
              <w:rPr>
                <w:rFonts w:ascii="Arial" w:hAnsi="Arial" w:cs="Arial"/>
                <w:b/>
                <w:bCs/>
              </w:rPr>
              <w:t>3.2</w:t>
            </w:r>
          </w:p>
        </w:tc>
        <w:tc>
          <w:tcPr>
            <w:tcW w:w="7367" w:type="dxa"/>
          </w:tcPr>
          <w:p w14:paraId="6A0F375C" w14:textId="02FF147A" w:rsidR="0078761A" w:rsidRPr="00AD1F33" w:rsidRDefault="002D1E90">
            <w:pPr>
              <w:spacing w:before="120" w:after="120" w:line="360" w:lineRule="auto"/>
              <w:rPr>
                <w:rFonts w:ascii="Arial" w:hAnsi="Arial" w:cs="Arial"/>
                <w:b/>
                <w:bCs/>
              </w:rPr>
            </w:pPr>
            <w:r w:rsidRPr="00AD1F33">
              <w:rPr>
                <w:rFonts w:ascii="Arial" w:hAnsi="Arial" w:cs="Arial"/>
                <w:b/>
                <w:bCs/>
              </w:rPr>
              <w:t>Anlagenverzeichnis</w:t>
            </w:r>
          </w:p>
        </w:tc>
      </w:tr>
    </w:tbl>
    <w:p w14:paraId="470BB916" w14:textId="77777777" w:rsidR="003C0922" w:rsidRPr="00AD1F33" w:rsidRDefault="003C0922" w:rsidP="003C0922">
      <w:pPr>
        <w:spacing w:before="120" w:after="120" w:line="360" w:lineRule="auto"/>
        <w:ind w:left="567"/>
        <w:rPr>
          <w:rFonts w:ascii="Arial" w:hAnsi="Arial" w:cs="Arial"/>
        </w:rPr>
      </w:pPr>
      <w:r w:rsidRPr="00AD1F33">
        <w:rPr>
          <w:rFonts w:ascii="Arial" w:hAnsi="Arial" w:cs="Arial"/>
        </w:rPr>
        <w:t>Die Anforderungen an die Angebote und die Leistung ergeben sich aus der Gesamtheit dieser Vergabeunterlagen. Die Auftraggeberin behält sich ausdrücklich vor, die in den Vergabeunterlagen enthaltenen Informationen bis zur Abgabe der Angebote zu präzisieren, zu ergänzen oder abzuändern.</w:t>
      </w:r>
    </w:p>
    <w:p w14:paraId="27C8658C" w14:textId="77777777" w:rsidR="003C0922" w:rsidRPr="00AD1F33" w:rsidRDefault="003C0922" w:rsidP="003C0922">
      <w:pPr>
        <w:spacing w:before="120" w:after="120" w:line="360" w:lineRule="auto"/>
        <w:ind w:left="567"/>
        <w:rPr>
          <w:rFonts w:ascii="Arial" w:hAnsi="Arial" w:cs="Arial"/>
        </w:rPr>
      </w:pPr>
      <w:r w:rsidRPr="00AD1F33">
        <w:rPr>
          <w:rFonts w:ascii="Arial" w:hAnsi="Arial" w:cs="Arial"/>
        </w:rPr>
        <w:lastRenderedPageBreak/>
        <w:t>Die den Bietern insoweit erteilten weiteren Informationen und Unterlagen, die die Vergabeunterlagen ergänzen, präzisieren oder abändern, werden Bestandteil der so geänderten Vergabeunterlagen. Die Vergabeunterlagen stehen über die Vergabeplattform zum unentgeltlichen, uneingeschränkten, vollständigen und direkten Abruf zur Verfügung.</w:t>
      </w:r>
    </w:p>
    <w:p w14:paraId="6A0F3763"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12" w:name="_Toc214641427"/>
      <w:bookmarkStart w:id="13" w:name="_Toc230266746"/>
      <w:r w:rsidRPr="00AD1F33">
        <w:rPr>
          <w:rFonts w:ascii="Arial" w:hAnsi="Arial" w:cs="Arial"/>
        </w:rPr>
        <w:t>Verfahrenssprache</w:t>
      </w:r>
      <w:bookmarkEnd w:id="12"/>
      <w:bookmarkEnd w:id="13"/>
    </w:p>
    <w:p w14:paraId="6A0F3764" w14:textId="77777777" w:rsidR="0078761A" w:rsidRPr="00AD1F33" w:rsidRDefault="005F4EE4">
      <w:pPr>
        <w:spacing w:before="120" w:after="120" w:line="360" w:lineRule="auto"/>
        <w:ind w:left="567"/>
        <w:rPr>
          <w:rFonts w:ascii="Arial" w:hAnsi="Arial" w:cs="Arial"/>
        </w:rPr>
      </w:pPr>
      <w:r w:rsidRPr="00AD1F33">
        <w:rPr>
          <w:rFonts w:ascii="Arial" w:hAnsi="Arial" w:cs="Arial"/>
        </w:rPr>
        <w:t>Die Verfahrenssprache ist Deutsch. Die Kommunikation mit der Auftraggeberin ist in deutscher Sprache zu führen. Die Angebote sowie etwaige weitere Unterlagen sind in deutscher Sprache vorzulegen.</w:t>
      </w:r>
    </w:p>
    <w:p w14:paraId="6A0F3765" w14:textId="77777777" w:rsidR="0078761A" w:rsidRPr="00AD1F33" w:rsidRDefault="005F4EE4">
      <w:pPr>
        <w:spacing w:before="120" w:after="120" w:line="360" w:lineRule="auto"/>
        <w:ind w:left="567"/>
        <w:rPr>
          <w:rFonts w:ascii="Arial" w:hAnsi="Arial" w:cs="Arial"/>
        </w:rPr>
      </w:pPr>
      <w:r w:rsidRPr="00AD1F33">
        <w:rPr>
          <w:rFonts w:ascii="Arial" w:hAnsi="Arial" w:cs="Arial"/>
        </w:rPr>
        <w:t>Die Auftraggeberin weist darauf hin, dass die Arbeitssprache auch während der gesamten Vertragslaufzeit Deutsch sein wird und dass sämtliche für die Vertragserfüllung vorgesehenen und mit der Auftraggeberin in Kontakt stehenden Mitarbeiter wie auch etwaige Mitarbeiter anderer Unternehmen, die für die Erfüllung von Teilleistungen vorgesehenen sind (Nachunternehmer) und Kontakt zu Mitarbeitern des Auftraggebers haben, der deutschen Sprache in Wort und Schrift mächtig sein müssen. Aus den Vergabeunterlagen ergeben sich ggf. weitergehende Anforderungen.</w:t>
      </w:r>
    </w:p>
    <w:p w14:paraId="6A0F3766"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14" w:name="_Toc214641428"/>
      <w:bookmarkStart w:id="15" w:name="_Toc230266747"/>
      <w:r w:rsidRPr="00AD1F33">
        <w:rPr>
          <w:rFonts w:ascii="Arial" w:hAnsi="Arial" w:cs="Arial"/>
        </w:rPr>
        <w:t>Personenbezogene Bezeichnungen</w:t>
      </w:r>
      <w:bookmarkEnd w:id="14"/>
      <w:bookmarkEnd w:id="15"/>
    </w:p>
    <w:p w14:paraId="6A0F3767" w14:textId="77777777" w:rsidR="0078761A" w:rsidRPr="00AD1F33" w:rsidRDefault="005F4EE4">
      <w:pPr>
        <w:spacing w:before="120" w:after="120" w:line="360" w:lineRule="auto"/>
        <w:ind w:left="567"/>
        <w:rPr>
          <w:rFonts w:ascii="Arial" w:hAnsi="Arial" w:cs="Arial"/>
        </w:rPr>
      </w:pPr>
      <w:r w:rsidRPr="00AD1F33">
        <w:rPr>
          <w:rFonts w:ascii="Arial" w:hAnsi="Arial" w:cs="Arial"/>
        </w:rPr>
        <w:t>Bei den in den Vergabeunterlagen verwendeten personenbezogenen Bezeichnungen gilt die gewählte Form für jegliche Art von natürlichen und juristischen Personen. Sofern nicht ausdrücklich anders bestimmt, sind mit „Bieter“ im Weiteren sowohl natürliche als auch juristische Personen und Bietergemeinschaften gemeint; mit „Auftragnehmer/in“ ist der/die Bieter/in oder die Bietergemeinschaft gemeint, der/die den Auftrag erhalten hat/haben.</w:t>
      </w:r>
    </w:p>
    <w:p w14:paraId="6A0F3768"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16" w:name="_Toc214641429"/>
      <w:bookmarkStart w:id="17" w:name="_Toc230266748"/>
      <w:r w:rsidRPr="00AD1F33">
        <w:rPr>
          <w:rFonts w:ascii="Arial" w:hAnsi="Arial" w:cs="Arial"/>
        </w:rPr>
        <w:t>Datenschutz</w:t>
      </w:r>
      <w:bookmarkEnd w:id="16"/>
      <w:bookmarkEnd w:id="17"/>
    </w:p>
    <w:p w14:paraId="6A0F3769" w14:textId="77777777" w:rsidR="0078761A" w:rsidRPr="00AD1F33" w:rsidRDefault="005F4EE4">
      <w:pPr>
        <w:spacing w:before="120" w:after="120" w:line="360" w:lineRule="auto"/>
        <w:ind w:left="567"/>
        <w:rPr>
          <w:rFonts w:ascii="Arial" w:hAnsi="Arial" w:cs="Arial"/>
        </w:rPr>
      </w:pPr>
      <w:r w:rsidRPr="00AD1F33">
        <w:rPr>
          <w:rFonts w:ascii="Arial" w:hAnsi="Arial" w:cs="Arial"/>
        </w:rPr>
        <w:t>Die von den Bietern erbetenen, personenbezogenen Angaben werden im Rahmen des Vergabeverfahrens nach Maßgabe der gesetzlichen Vergabeart verarbeitet und gespeichert. Mit der Registrierung in der Vergabeplattform und/oder der Abgabe eines Angebots erklären sich die Bieter damit einverstanden, dass die bekanntgegebenen unternehmens-, personenbezogenen Angaben und übrigen Daten im Rahmen des Vergabeverfahrens verarbeitet und gespeichert werden.</w:t>
      </w:r>
    </w:p>
    <w:p w14:paraId="6A0F376A"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18" w:name="_Toc214641430"/>
      <w:bookmarkStart w:id="19" w:name="_Toc230266749"/>
      <w:r w:rsidRPr="00AD1F33">
        <w:rPr>
          <w:rFonts w:ascii="Arial" w:hAnsi="Arial" w:cs="Arial"/>
        </w:rPr>
        <w:lastRenderedPageBreak/>
        <w:t>Kosten-/Aufwandserstattung</w:t>
      </w:r>
      <w:bookmarkEnd w:id="18"/>
      <w:bookmarkEnd w:id="19"/>
    </w:p>
    <w:p w14:paraId="6A0F376B" w14:textId="77777777" w:rsidR="0078761A" w:rsidRPr="00AD1F33" w:rsidRDefault="005F4EE4">
      <w:pPr>
        <w:spacing w:before="120" w:after="120" w:line="360" w:lineRule="auto"/>
        <w:ind w:left="567"/>
        <w:rPr>
          <w:rFonts w:ascii="Arial" w:hAnsi="Arial" w:cs="Arial"/>
        </w:rPr>
      </w:pPr>
      <w:r w:rsidRPr="00AD1F33">
        <w:rPr>
          <w:rFonts w:ascii="Arial" w:hAnsi="Arial" w:cs="Arial"/>
        </w:rPr>
        <w:t>Für die Erstellung des Angebotes sowie die Verfahrensteilnahme erfolgt keine Kosten- oder Aufwandserstattung.</w:t>
      </w:r>
    </w:p>
    <w:p w14:paraId="6A0F376C"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20" w:name="_Toc214641431"/>
      <w:bookmarkStart w:id="21" w:name="_Toc230266750"/>
      <w:r w:rsidRPr="00AD1F33">
        <w:rPr>
          <w:rFonts w:ascii="Arial" w:hAnsi="Arial" w:cs="Arial"/>
        </w:rPr>
        <w:t>Vertraulichkeit und Datenspeicherung</w:t>
      </w:r>
      <w:bookmarkEnd w:id="20"/>
      <w:bookmarkEnd w:id="21"/>
    </w:p>
    <w:p w14:paraId="6A0F376D" w14:textId="77777777" w:rsidR="0078761A" w:rsidRPr="00AD1F33" w:rsidRDefault="005F4EE4">
      <w:pPr>
        <w:spacing w:before="120" w:after="120" w:line="360" w:lineRule="auto"/>
        <w:ind w:left="567"/>
        <w:rPr>
          <w:rFonts w:ascii="Arial" w:hAnsi="Arial" w:cs="Arial"/>
        </w:rPr>
      </w:pPr>
      <w:r w:rsidRPr="00AD1F33">
        <w:rPr>
          <w:rFonts w:ascii="Arial" w:hAnsi="Arial" w:cs="Arial"/>
        </w:rPr>
        <w:t xml:space="preserve">Die Bieter bzw. Bietergemeinschaften und deren Mitglieder sowie etwaige Drittunternehmer verpflichten sich, die ihnen im Rahmen dieses Verfahrens bzw. bei Vertragsausführung bekanntwerdenden Informationen vertraulich zu behandeln. </w:t>
      </w:r>
    </w:p>
    <w:p w14:paraId="6A0F376E"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22" w:name="_Ref14944688"/>
      <w:bookmarkStart w:id="23" w:name="_Toc214641432"/>
      <w:bookmarkStart w:id="24" w:name="_Toc230266751"/>
      <w:r w:rsidRPr="00AD1F33">
        <w:rPr>
          <w:rFonts w:ascii="Arial" w:hAnsi="Arial" w:cs="Arial"/>
        </w:rPr>
        <w:t>Auskünfte, Vollständigkeit der Unterlagen, Bieterfragen</w:t>
      </w:r>
      <w:bookmarkEnd w:id="22"/>
      <w:bookmarkEnd w:id="23"/>
      <w:bookmarkEnd w:id="24"/>
    </w:p>
    <w:p w14:paraId="6A0F376F" w14:textId="77777777" w:rsidR="0078761A" w:rsidRPr="00AD1F33" w:rsidRDefault="005F4EE4">
      <w:pPr>
        <w:spacing w:before="120" w:after="120" w:line="360" w:lineRule="auto"/>
        <w:ind w:left="567"/>
        <w:rPr>
          <w:rFonts w:ascii="Arial" w:hAnsi="Arial" w:cs="Arial"/>
        </w:rPr>
      </w:pPr>
      <w:r w:rsidRPr="00AD1F33">
        <w:rPr>
          <w:rFonts w:ascii="Arial" w:hAnsi="Arial" w:cs="Arial"/>
        </w:rPr>
        <w:t>Auskünfte werden ausschließlich über die Vergabeplattform</w:t>
      </w:r>
    </w:p>
    <w:p w14:paraId="6A0F3770" w14:textId="77777777" w:rsidR="0078761A" w:rsidRPr="00AD1F33" w:rsidRDefault="005F4EE4">
      <w:pPr>
        <w:spacing w:before="120" w:after="120" w:line="360" w:lineRule="auto"/>
        <w:ind w:left="567"/>
        <w:jc w:val="center"/>
        <w:rPr>
          <w:rFonts w:ascii="Arial" w:hAnsi="Arial" w:cs="Arial"/>
          <w:b/>
        </w:rPr>
      </w:pPr>
      <w:proofErr w:type="spellStart"/>
      <w:r w:rsidRPr="00AD1F33">
        <w:rPr>
          <w:rFonts w:ascii="Arial" w:hAnsi="Arial" w:cs="Arial"/>
          <w:b/>
        </w:rPr>
        <w:t>dtvp</w:t>
      </w:r>
      <w:proofErr w:type="spellEnd"/>
      <w:r w:rsidRPr="00AD1F33">
        <w:rPr>
          <w:rFonts w:ascii="Arial" w:hAnsi="Arial" w:cs="Arial"/>
          <w:b/>
        </w:rPr>
        <w:t xml:space="preserve"> (</w:t>
      </w:r>
      <w:hyperlink r:id="rId11">
        <w:r w:rsidR="0078761A" w:rsidRPr="00AD1F33">
          <w:rPr>
            <w:rFonts w:ascii="Arial" w:hAnsi="Arial" w:cs="Arial"/>
            <w:b/>
          </w:rPr>
          <w:t>https://dtvp.de/</w:t>
        </w:r>
      </w:hyperlink>
      <w:r w:rsidRPr="00AD1F33">
        <w:rPr>
          <w:rFonts w:ascii="Arial" w:hAnsi="Arial" w:cs="Arial"/>
          <w:b/>
        </w:rPr>
        <w:t>)</w:t>
      </w:r>
    </w:p>
    <w:p w14:paraId="6A0F3771" w14:textId="77777777" w:rsidR="0078761A" w:rsidRPr="00AD1F33" w:rsidRDefault="005F4EE4">
      <w:pPr>
        <w:spacing w:before="120" w:after="120" w:line="360" w:lineRule="auto"/>
        <w:ind w:left="567"/>
        <w:rPr>
          <w:rFonts w:ascii="Arial" w:hAnsi="Arial" w:cs="Arial"/>
        </w:rPr>
      </w:pPr>
      <w:r w:rsidRPr="00AD1F33">
        <w:rPr>
          <w:rFonts w:ascii="Arial" w:hAnsi="Arial" w:cs="Arial"/>
          <w:noProof/>
        </w:rPr>
        <mc:AlternateContent>
          <mc:Choice Requires="wps">
            <w:drawing>
              <wp:anchor distT="635" distB="52070" distL="106045" distR="166370" simplePos="0" relativeHeight="27" behindDoc="0" locked="0" layoutInCell="0" allowOverlap="1" wp14:anchorId="6A0F383F" wp14:editId="6A0F3840">
                <wp:simplePos x="0" y="0"/>
                <wp:positionH relativeFrom="margin">
                  <wp:posOffset>313055</wp:posOffset>
                </wp:positionH>
                <wp:positionV relativeFrom="paragraph">
                  <wp:posOffset>325120</wp:posOffset>
                </wp:positionV>
                <wp:extent cx="5419725" cy="2714625"/>
                <wp:effectExtent l="3810" t="3810" r="2540" b="2540"/>
                <wp:wrapSquare wrapText="bothSides"/>
                <wp:docPr id="3" name="Textfeld 1"/>
                <wp:cNvGraphicFramePr/>
                <a:graphic xmlns:a="http://schemas.openxmlformats.org/drawingml/2006/main">
                  <a:graphicData uri="http://schemas.microsoft.com/office/word/2010/wordprocessingShape">
                    <wps:wsp>
                      <wps:cNvSpPr/>
                      <wps:spPr>
                        <a:xfrm>
                          <a:off x="0" y="0"/>
                          <a:ext cx="5419800" cy="2714760"/>
                        </a:xfrm>
                        <a:prstGeom prst="rect">
                          <a:avLst/>
                        </a:prstGeom>
                        <a:solidFill>
                          <a:schemeClr val="tx2">
                            <a:lumMod val="20000"/>
                            <a:lumOff val="80000"/>
                          </a:schemeClr>
                        </a:solidFill>
                        <a:ln w="6350">
                          <a:solidFill>
                            <a:srgbClr val="ADB9CA"/>
                          </a:solidFill>
                          <a:round/>
                        </a:ln>
                      </wps:spPr>
                      <wps:style>
                        <a:lnRef idx="0">
                          <a:scrgbClr r="0" g="0" b="0"/>
                        </a:lnRef>
                        <a:fillRef idx="0">
                          <a:scrgbClr r="0" g="0" b="0"/>
                        </a:fillRef>
                        <a:effectRef idx="0">
                          <a:scrgbClr r="0" g="0" b="0"/>
                        </a:effectRef>
                        <a:fontRef idx="minor"/>
                      </wps:style>
                      <wps:txbx>
                        <w:txbxContent>
                          <w:p w14:paraId="6A0F38AA" w14:textId="77777777" w:rsidR="0078761A" w:rsidRDefault="005F4EE4">
                            <w:pPr>
                              <w:pStyle w:val="Rahmeninhaltuser"/>
                              <w:spacing w:line="360" w:lineRule="auto"/>
                              <w:jc w:val="center"/>
                              <w:rPr>
                                <w:rFonts w:ascii="Arial" w:hAnsi="Arial" w:cs="Arial"/>
                                <w:b/>
                              </w:rPr>
                            </w:pPr>
                            <w:r>
                              <w:rPr>
                                <w:rFonts w:ascii="Arial" w:hAnsi="Arial" w:cs="Arial"/>
                                <w:b/>
                                <w:color w:val="000000"/>
                              </w:rPr>
                              <w:t>Hinweise zum DTVP:</w:t>
                            </w:r>
                          </w:p>
                          <w:p w14:paraId="6A0F38AB" w14:textId="77777777" w:rsidR="0078761A" w:rsidRDefault="005F4EE4">
                            <w:pPr>
                              <w:pStyle w:val="Listenabsatz"/>
                              <w:numPr>
                                <w:ilvl w:val="0"/>
                                <w:numId w:val="9"/>
                              </w:numPr>
                              <w:spacing w:before="0" w:after="0" w:line="360" w:lineRule="auto"/>
                              <w:ind w:left="567" w:hanging="567"/>
                              <w:contextualSpacing w:val="0"/>
                              <w:jc w:val="left"/>
                              <w:rPr>
                                <w:rFonts w:ascii="Arial" w:hAnsi="Arial" w:cs="Arial"/>
                              </w:rPr>
                            </w:pPr>
                            <w:r>
                              <w:rPr>
                                <w:rFonts w:ascii="Arial" w:hAnsi="Arial" w:cs="Arial"/>
                                <w:color w:val="000000"/>
                              </w:rPr>
                              <w:t>Für die Teilnahme an diesem Verfahren ist eine einmalige kostenfreie Registrierung auf dem Portal erforderlich.</w:t>
                            </w:r>
                          </w:p>
                          <w:p w14:paraId="6A0F38AC" w14:textId="0ACA0C00" w:rsidR="0078761A" w:rsidRDefault="005F4EE4">
                            <w:pPr>
                              <w:pStyle w:val="Listenabsatz"/>
                              <w:numPr>
                                <w:ilvl w:val="0"/>
                                <w:numId w:val="9"/>
                              </w:numPr>
                              <w:spacing w:before="0" w:after="0" w:line="360" w:lineRule="auto"/>
                              <w:ind w:left="567" w:hanging="567"/>
                              <w:contextualSpacing w:val="0"/>
                              <w:jc w:val="left"/>
                              <w:rPr>
                                <w:rFonts w:ascii="Arial" w:hAnsi="Arial" w:cs="Arial"/>
                              </w:rPr>
                            </w:pPr>
                            <w:r>
                              <w:rPr>
                                <w:rFonts w:ascii="Arial" w:hAnsi="Arial" w:cs="Arial"/>
                                <w:color w:val="000000"/>
                              </w:rPr>
                              <w:t xml:space="preserve">Nach der Registrierung erhalten </w:t>
                            </w:r>
                            <w:r w:rsidR="00115BDE">
                              <w:rPr>
                                <w:rFonts w:ascii="Arial" w:hAnsi="Arial" w:cs="Arial"/>
                                <w:color w:val="000000"/>
                              </w:rPr>
                              <w:t>S</w:t>
                            </w:r>
                            <w:r>
                              <w:rPr>
                                <w:rFonts w:ascii="Arial" w:hAnsi="Arial" w:cs="Arial"/>
                                <w:color w:val="000000"/>
                              </w:rPr>
                              <w:t>ie freien Zugriff auf das Vergabeportal. Dort können Sie unter „Angebotsunterlagen“ die Vergabeunterlagen inklusive aller Anlage herunterladen.</w:t>
                            </w:r>
                          </w:p>
                          <w:p w14:paraId="6A0F38AD" w14:textId="77777777" w:rsidR="0078761A" w:rsidRDefault="005F4EE4">
                            <w:pPr>
                              <w:pStyle w:val="Listenabsatz"/>
                              <w:numPr>
                                <w:ilvl w:val="0"/>
                                <w:numId w:val="9"/>
                              </w:numPr>
                              <w:spacing w:before="0" w:after="0" w:line="360" w:lineRule="auto"/>
                              <w:ind w:left="567" w:hanging="567"/>
                              <w:contextualSpacing w:val="0"/>
                              <w:jc w:val="left"/>
                              <w:rPr>
                                <w:rFonts w:ascii="Arial" w:hAnsi="Arial" w:cs="Arial"/>
                              </w:rPr>
                            </w:pPr>
                            <w:r>
                              <w:rPr>
                                <w:rFonts w:ascii="Arial" w:hAnsi="Arial" w:cs="Arial"/>
                                <w:color w:val="000000"/>
                              </w:rPr>
                              <w:t>Ihr Angebot reichen Sie bitte ebenfalls über das DTVP ein. Dies geschieht durch ein einfaches Hochladen der Dokumente.</w:t>
                            </w:r>
                          </w:p>
                          <w:p w14:paraId="6A0F38AE" w14:textId="77777777" w:rsidR="0078761A" w:rsidRDefault="005F4EE4">
                            <w:pPr>
                              <w:pStyle w:val="Listenabsatz"/>
                              <w:numPr>
                                <w:ilvl w:val="0"/>
                                <w:numId w:val="9"/>
                              </w:numPr>
                              <w:spacing w:before="0" w:after="0" w:line="360" w:lineRule="auto"/>
                              <w:ind w:left="567" w:hanging="567"/>
                              <w:contextualSpacing w:val="0"/>
                              <w:jc w:val="left"/>
                              <w:rPr>
                                <w:rFonts w:ascii="Arial" w:hAnsi="Arial" w:cs="Arial"/>
                              </w:rPr>
                            </w:pPr>
                            <w:r>
                              <w:rPr>
                                <w:rFonts w:ascii="Arial" w:hAnsi="Arial" w:cs="Arial"/>
                                <w:color w:val="000000"/>
                              </w:rPr>
                              <w:t xml:space="preserve">Das DTVP enthält eine eigene Kommunikationsplattform, die für Rückfragen der Bieter und die Antworten des Auftraggebers von beiden Seiten benutzt werden muss, um ein transparentes Verfahren zu gewährleisten. </w:t>
                            </w:r>
                          </w:p>
                        </w:txbxContent>
                      </wps:txbx>
                      <wps:bodyPr anchor="t">
                        <a:prstTxWarp prst="textNoShape">
                          <a:avLst/>
                        </a:prstTxWarp>
                        <a:noAutofit/>
                      </wps:bodyPr>
                    </wps:wsp>
                  </a:graphicData>
                </a:graphic>
              </wp:anchor>
            </w:drawing>
          </mc:Choice>
          <mc:Fallback>
            <w:pict>
              <v:rect w14:anchorId="6A0F383F" id="Textfeld 1" o:spid="_x0000_s1026" style="position:absolute;left:0;text-align:left;margin-left:24.65pt;margin-top:25.6pt;width:426.75pt;height:213.75pt;z-index:27;visibility:visible;mso-wrap-style:square;mso-wrap-distance-left:8.35pt;mso-wrap-distance-top:.05pt;mso-wrap-distance-right:13.1pt;mso-wrap-distance-bottom:4.1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auRFwIAAKwEAAAOAAAAZHJzL2Uyb0RvYy54bWysVE1v2zAMvQ/YfxB8X+xk/QziFFmD7rJ1&#10;xdphZ0WWYgGyKEhK7Pz7UbTjpN2pwy6yRIrvkY+UF3ddY9he+qDBltl0UmRMWgGVttsy+/Xy8Okm&#10;YyFyW3EDVpbZQYbsbvnxw6J1czmDGkwlPUMQG+atK7M6RjfP8yBq2fAwASctOhX4hkc8+m1eed4i&#10;emPyWVFc5S34ynkQMgS0rntntiR8paSIP5QKMjJTZphbpNXTuklrvlzw+dZzV2sxpMH/IYuGa4uk&#10;I9SaR852Xv8F1WjhIYCKEwFNDkppIakGrGZavKnmueZOUi0oTnCjTOH/wYrH/bN78ihD68I84DZV&#10;0SnfpC/mxzoS6zCKJbvIBBovL6a3NwVqKtA3u55eXF+RnPkp3PkQv0poWNqUmcdukEh8/y1EpMSr&#10;xyuJLYDR1YM2hg5pAuS98WzPsXexm1Go2TXfoept2H/kpw6iGfvcmzGp3ozwNEcJhcheERjL2jK7&#10;+nxZEPArX/DbzUi9Wn+5vV8lngR4nqOHna16u7HoPklIu3gwMpVi7E+pmK5Iyb62Ab8fRHwpKONx&#10;HJGEAtJFhWK8M3YISdGS5v+d8WMQ8YONY3yjLXiS4ay6tI3dpkMV0nYD1eHJM25FDVhc3+7U45fu&#10;N/duGISIM/QIx+nm8zfz0N9N/BZWuwhK07Cc8Aep8UlQT4bnm97c+ZlunX4yyz8AAAD//wMAUEsD&#10;BBQABgAIAAAAIQAanfh24gAAAAkBAAAPAAAAZHJzL2Rvd25yZXYueG1sTI/LTsMwEEX3SPyDNUhs&#10;UGs3pU0b4lQIBJsuUB+q6M6NTWIRj6PYaQNfz7CC5ehc3Tk3Xw2uYWfTBetRwmQsgBksvbZYSdjv&#10;XkYLYCEq1KrxaCR8mQCr4voqV5n2F9yY8zZWjEowZEpCHWObcR7K2jgVxr41SOzDd05FOruK605d&#10;qNw1PBFizp2ySB9q1Zqn2pSf295JOB7TqX17vXtei36zf0+/D3M7O0h5ezM8PgCLZoh/YfjVJ3Uo&#10;yOnke9SBNRLul1NKSphNEmDElyKhKScC6SIFXuT8/4LiBwAA//8DAFBLAQItABQABgAIAAAAIQC2&#10;gziS/gAAAOEBAAATAAAAAAAAAAAAAAAAAAAAAABbQ29udGVudF9UeXBlc10ueG1sUEsBAi0AFAAG&#10;AAgAAAAhADj9If/WAAAAlAEAAAsAAAAAAAAAAAAAAAAALwEAAF9yZWxzLy5yZWxzUEsBAi0AFAAG&#10;AAgAAAAhAFjxq5EXAgAArAQAAA4AAAAAAAAAAAAAAAAALgIAAGRycy9lMm9Eb2MueG1sUEsBAi0A&#10;FAAGAAgAAAAhABqd+HbiAAAACQEAAA8AAAAAAAAAAAAAAAAAcQQAAGRycy9kb3ducmV2LnhtbFBL&#10;BQYAAAAABAAEAPMAAACABQAAAAA=&#10;" o:allowincell="f" fillcolor="#e3e2e2 [671]" strokecolor="#adb9ca" strokeweight=".5pt">
                <v:stroke joinstyle="round"/>
                <v:textbox>
                  <w:txbxContent>
                    <w:p w14:paraId="6A0F38AA" w14:textId="77777777" w:rsidR="0078761A" w:rsidRDefault="005F4EE4">
                      <w:pPr>
                        <w:pStyle w:val="Rahmeninhaltuser"/>
                        <w:spacing w:line="360" w:lineRule="auto"/>
                        <w:jc w:val="center"/>
                        <w:rPr>
                          <w:rFonts w:ascii="Arial" w:hAnsi="Arial" w:cs="Arial"/>
                          <w:b/>
                        </w:rPr>
                      </w:pPr>
                      <w:r>
                        <w:rPr>
                          <w:rFonts w:ascii="Arial" w:hAnsi="Arial" w:cs="Arial"/>
                          <w:b/>
                          <w:color w:val="000000"/>
                        </w:rPr>
                        <w:t>Hinweise zum DTVP:</w:t>
                      </w:r>
                    </w:p>
                    <w:p w14:paraId="6A0F38AB" w14:textId="77777777" w:rsidR="0078761A" w:rsidRDefault="005F4EE4">
                      <w:pPr>
                        <w:pStyle w:val="Listenabsatz"/>
                        <w:numPr>
                          <w:ilvl w:val="0"/>
                          <w:numId w:val="9"/>
                        </w:numPr>
                        <w:spacing w:before="0" w:after="0" w:line="360" w:lineRule="auto"/>
                        <w:ind w:left="567" w:hanging="567"/>
                        <w:contextualSpacing w:val="0"/>
                        <w:jc w:val="left"/>
                        <w:rPr>
                          <w:rFonts w:ascii="Arial" w:hAnsi="Arial" w:cs="Arial"/>
                        </w:rPr>
                      </w:pPr>
                      <w:r>
                        <w:rPr>
                          <w:rFonts w:ascii="Arial" w:hAnsi="Arial" w:cs="Arial"/>
                          <w:color w:val="000000"/>
                        </w:rPr>
                        <w:t>Für die Teilnahme an diesem Verfahren ist eine einmalige kostenfreie Registrierung auf dem Portal erforderlich.</w:t>
                      </w:r>
                    </w:p>
                    <w:p w14:paraId="6A0F38AC" w14:textId="0ACA0C00" w:rsidR="0078761A" w:rsidRDefault="005F4EE4">
                      <w:pPr>
                        <w:pStyle w:val="Listenabsatz"/>
                        <w:numPr>
                          <w:ilvl w:val="0"/>
                          <w:numId w:val="9"/>
                        </w:numPr>
                        <w:spacing w:before="0" w:after="0" w:line="360" w:lineRule="auto"/>
                        <w:ind w:left="567" w:hanging="567"/>
                        <w:contextualSpacing w:val="0"/>
                        <w:jc w:val="left"/>
                        <w:rPr>
                          <w:rFonts w:ascii="Arial" w:hAnsi="Arial" w:cs="Arial"/>
                        </w:rPr>
                      </w:pPr>
                      <w:r>
                        <w:rPr>
                          <w:rFonts w:ascii="Arial" w:hAnsi="Arial" w:cs="Arial"/>
                          <w:color w:val="000000"/>
                        </w:rPr>
                        <w:t xml:space="preserve">Nach der Registrierung erhalten </w:t>
                      </w:r>
                      <w:r w:rsidR="00115BDE">
                        <w:rPr>
                          <w:rFonts w:ascii="Arial" w:hAnsi="Arial" w:cs="Arial"/>
                          <w:color w:val="000000"/>
                        </w:rPr>
                        <w:t>S</w:t>
                      </w:r>
                      <w:r>
                        <w:rPr>
                          <w:rFonts w:ascii="Arial" w:hAnsi="Arial" w:cs="Arial"/>
                          <w:color w:val="000000"/>
                        </w:rPr>
                        <w:t>ie freien Zugriff auf das Vergabeportal. Dort können Sie unter „Angebotsunterlagen“ die Vergabeunterlagen inklusive aller Anlage herunterladen.</w:t>
                      </w:r>
                    </w:p>
                    <w:p w14:paraId="6A0F38AD" w14:textId="77777777" w:rsidR="0078761A" w:rsidRDefault="005F4EE4">
                      <w:pPr>
                        <w:pStyle w:val="Listenabsatz"/>
                        <w:numPr>
                          <w:ilvl w:val="0"/>
                          <w:numId w:val="9"/>
                        </w:numPr>
                        <w:spacing w:before="0" w:after="0" w:line="360" w:lineRule="auto"/>
                        <w:ind w:left="567" w:hanging="567"/>
                        <w:contextualSpacing w:val="0"/>
                        <w:jc w:val="left"/>
                        <w:rPr>
                          <w:rFonts w:ascii="Arial" w:hAnsi="Arial" w:cs="Arial"/>
                        </w:rPr>
                      </w:pPr>
                      <w:r>
                        <w:rPr>
                          <w:rFonts w:ascii="Arial" w:hAnsi="Arial" w:cs="Arial"/>
                          <w:color w:val="000000"/>
                        </w:rPr>
                        <w:t>Ihr Angebot reichen Sie bitte ebenfalls über das DTVP ein. Dies geschieht durch ein einfaches Hochladen der Dokumente.</w:t>
                      </w:r>
                    </w:p>
                    <w:p w14:paraId="6A0F38AE" w14:textId="77777777" w:rsidR="0078761A" w:rsidRDefault="005F4EE4">
                      <w:pPr>
                        <w:pStyle w:val="Listenabsatz"/>
                        <w:numPr>
                          <w:ilvl w:val="0"/>
                          <w:numId w:val="9"/>
                        </w:numPr>
                        <w:spacing w:before="0" w:after="0" w:line="360" w:lineRule="auto"/>
                        <w:ind w:left="567" w:hanging="567"/>
                        <w:contextualSpacing w:val="0"/>
                        <w:jc w:val="left"/>
                        <w:rPr>
                          <w:rFonts w:ascii="Arial" w:hAnsi="Arial" w:cs="Arial"/>
                        </w:rPr>
                      </w:pPr>
                      <w:r>
                        <w:rPr>
                          <w:rFonts w:ascii="Arial" w:hAnsi="Arial" w:cs="Arial"/>
                          <w:color w:val="000000"/>
                        </w:rPr>
                        <w:t xml:space="preserve">Das DTVP enthält eine eigene Kommunikationsplattform, die für Rückfragen der Bieter und die Antworten des Auftraggebers von beiden Seiten benutzt werden muss, um ein transparentes Verfahren zu gewährleisten. </w:t>
                      </w:r>
                    </w:p>
                  </w:txbxContent>
                </v:textbox>
                <w10:wrap type="square" anchorx="margin"/>
              </v:rect>
            </w:pict>
          </mc:Fallback>
        </mc:AlternateContent>
      </w:r>
      <w:r w:rsidRPr="00AD1F33">
        <w:rPr>
          <w:rFonts w:ascii="Arial" w:hAnsi="Arial" w:cs="Arial"/>
        </w:rPr>
        <w:t>erteilt.</w:t>
      </w:r>
    </w:p>
    <w:p w14:paraId="6A0F3772" w14:textId="63C256BB" w:rsidR="0078761A" w:rsidRPr="00AD1F33" w:rsidRDefault="005F4EE4">
      <w:pPr>
        <w:spacing w:before="120" w:after="120" w:line="360" w:lineRule="auto"/>
        <w:ind w:left="567"/>
        <w:rPr>
          <w:rFonts w:ascii="Arial" w:hAnsi="Arial" w:cs="Arial"/>
        </w:rPr>
      </w:pPr>
      <w:r w:rsidRPr="00AD1F33">
        <w:rPr>
          <w:rFonts w:ascii="Arial" w:hAnsi="Arial" w:cs="Arial"/>
        </w:rPr>
        <w:t xml:space="preserve">Die bereitgestellten Vergabeunterlagen sind vom Bieter unverzüglich eingehend zu prüfen. Enthalten die Vergabeunterlagen nach Auffassung des Bieters Unklarheiten oder scheinen die Vergabeunterlagen nicht verständlich, widersprüchlich, unvollständig oder sonst zu beanstanden, so hat der Bieter die Auftraggeberin hierauf unverzüglich in Textform über die vorgenannte Vergabeplattform hinzuweisen. </w:t>
      </w:r>
    </w:p>
    <w:p w14:paraId="163593EB" w14:textId="77777777" w:rsidR="00AB1BC0" w:rsidRPr="00AD1F33" w:rsidRDefault="00AB1BC0" w:rsidP="00A4753D">
      <w:pPr>
        <w:spacing w:before="120" w:after="120" w:line="360" w:lineRule="auto"/>
        <w:ind w:left="567"/>
        <w:rPr>
          <w:rFonts w:ascii="Arial" w:hAnsi="Arial" w:cs="Arial"/>
        </w:rPr>
      </w:pPr>
    </w:p>
    <w:p w14:paraId="12D637EE" w14:textId="456D8935" w:rsidR="00A4753D" w:rsidRPr="00AD1F33" w:rsidRDefault="00A4753D" w:rsidP="00A4753D">
      <w:pPr>
        <w:spacing w:before="120" w:after="120" w:line="360" w:lineRule="auto"/>
        <w:ind w:left="567"/>
        <w:rPr>
          <w:rFonts w:ascii="Arial" w:hAnsi="Arial" w:cs="Arial"/>
        </w:rPr>
      </w:pPr>
      <w:r w:rsidRPr="00AD1F33">
        <w:rPr>
          <w:rFonts w:ascii="Arial" w:hAnsi="Arial" w:cs="Arial"/>
        </w:rPr>
        <w:lastRenderedPageBreak/>
        <w:t xml:space="preserve">Fragen zu den Vergabeunterlagen sind ausschließlich elektronisch über die vorgenannte Vergabeplattform bis spätestens zum </w:t>
      </w:r>
    </w:p>
    <w:p w14:paraId="3F2C5830" w14:textId="67345E5A" w:rsidR="00A4753D" w:rsidRPr="00AD1F33" w:rsidRDefault="001E1D4C" w:rsidP="00A4753D">
      <w:pPr>
        <w:spacing w:before="120" w:after="120" w:line="360" w:lineRule="auto"/>
        <w:ind w:left="567"/>
        <w:jc w:val="center"/>
        <w:rPr>
          <w:rFonts w:ascii="Arial" w:hAnsi="Arial" w:cs="Arial"/>
        </w:rPr>
      </w:pPr>
      <w:r w:rsidRPr="00AD1F33">
        <w:rPr>
          <w:rFonts w:ascii="Arial" w:hAnsi="Arial" w:cs="Arial"/>
          <w:b/>
          <w:bCs/>
        </w:rPr>
        <w:t>Mittwoch</w:t>
      </w:r>
      <w:r w:rsidR="000E1280" w:rsidRPr="00AD1F33">
        <w:rPr>
          <w:rFonts w:ascii="Arial" w:hAnsi="Arial" w:cs="Arial"/>
          <w:b/>
          <w:bCs/>
        </w:rPr>
        <w:t>, den 1</w:t>
      </w:r>
      <w:r w:rsidRPr="00AD1F33">
        <w:rPr>
          <w:rFonts w:ascii="Arial" w:hAnsi="Arial" w:cs="Arial"/>
          <w:b/>
          <w:bCs/>
        </w:rPr>
        <w:t>7</w:t>
      </w:r>
      <w:r w:rsidR="000E1280" w:rsidRPr="00AD1F33">
        <w:rPr>
          <w:rFonts w:ascii="Arial" w:hAnsi="Arial" w:cs="Arial"/>
          <w:b/>
          <w:bCs/>
        </w:rPr>
        <w:t>. Juni 2026</w:t>
      </w:r>
    </w:p>
    <w:p w14:paraId="23400228" w14:textId="77777777" w:rsidR="00A4753D" w:rsidRPr="00AD1F33" w:rsidRDefault="00A4753D" w:rsidP="00A4753D">
      <w:pPr>
        <w:spacing w:before="120" w:after="120" w:line="360" w:lineRule="auto"/>
        <w:ind w:left="567"/>
        <w:rPr>
          <w:rFonts w:ascii="Arial" w:hAnsi="Arial" w:cs="Arial"/>
        </w:rPr>
      </w:pPr>
      <w:r w:rsidRPr="00AD1F33">
        <w:rPr>
          <w:rFonts w:ascii="Arial" w:hAnsi="Arial" w:cs="Arial"/>
        </w:rPr>
        <w:t>einzureichen. Hierfür ist zwingend das den Vergabeunterlagen beigefügte Formblatt „</w:t>
      </w:r>
      <w:r w:rsidRPr="00AD1F33">
        <w:rPr>
          <w:rFonts w:ascii="Arial" w:hAnsi="Arial" w:cs="Arial"/>
          <w:b/>
        </w:rPr>
        <w:t>Bieterfragen</w:t>
      </w:r>
      <w:r w:rsidRPr="00AD1F33">
        <w:rPr>
          <w:rFonts w:ascii="Arial" w:hAnsi="Arial" w:cs="Arial"/>
        </w:rPr>
        <w:t>“ zu nutzen.</w:t>
      </w:r>
    </w:p>
    <w:p w14:paraId="6A0F3776" w14:textId="77777777" w:rsidR="0078761A" w:rsidRPr="00AD1F33" w:rsidRDefault="005F4EE4">
      <w:pPr>
        <w:spacing w:before="120" w:after="120" w:line="360" w:lineRule="auto"/>
        <w:ind w:left="567"/>
        <w:rPr>
          <w:rFonts w:ascii="Arial" w:hAnsi="Arial" w:cs="Arial"/>
        </w:rPr>
      </w:pPr>
      <w:r w:rsidRPr="00AD1F33">
        <w:rPr>
          <w:rFonts w:ascii="Arial" w:hAnsi="Arial" w:cs="Arial"/>
        </w:rPr>
        <w:t>Es werden ausschließlich Fragen beantwortet, deren Beantwortung für die Erstellung der Angebote erforderlich ist. Fragen, die nicht innerhalb der o.g. Frist gestellt werden und nicht spätestens sechs Tage vor Ablauf der Frist für die Einreichung der Angebote beantwortet werden können, werden grundsätzlich nicht beantwortet. Unabhängig davon wird zur Vermeidung von Verzögerungen um zeitnahe Übersendung der Fragen gebeten. Sofern sich an den Vergabeunterlagen aufgrund der Beantwortung von Fragen Änderungen ergeben sollten, behält sich die Auftraggeberin vor, entsprechende aktualisierte Fassungen der jeweiligen Dokumente auf der Vergabeplattform der Kontaktstelle zur Verfügung zu stellen. Die zur Verfügung gestellten anonymisierten Fragen und Antworten werden verbindlicher Teil der Vergabeunterlagen.</w:t>
      </w:r>
    </w:p>
    <w:p w14:paraId="6A0F3777" w14:textId="77777777" w:rsidR="0078761A" w:rsidRPr="00AD1F33" w:rsidRDefault="005F4EE4">
      <w:pPr>
        <w:spacing w:before="120" w:after="120" w:line="360" w:lineRule="auto"/>
        <w:ind w:left="567"/>
        <w:rPr>
          <w:rFonts w:ascii="Arial" w:hAnsi="Arial" w:cs="Arial"/>
        </w:rPr>
      </w:pPr>
      <w:r w:rsidRPr="00AD1F33">
        <w:rPr>
          <w:rFonts w:ascii="Arial" w:hAnsi="Arial" w:cs="Arial"/>
        </w:rPr>
        <w:t>Die Fragen sind so zu formulieren, dass ein Rückschluss auf die Identität des Fragestellers nicht möglich und eine Beantwortung dieser Frage an alle Bieter möglich ist. Die Vergabestelle behält sich zum Schutz des Geheimwettbewerbs vor, Fragen der Bieter umzuformulieren, um Rückschlüsse auf die Identität des Fragenstellers zu verhindern.</w:t>
      </w:r>
    </w:p>
    <w:p w14:paraId="6A0F3778" w14:textId="77777777" w:rsidR="0078761A" w:rsidRPr="00AD1F33" w:rsidRDefault="005F4EE4">
      <w:pPr>
        <w:spacing w:before="120" w:after="120" w:line="360" w:lineRule="auto"/>
        <w:ind w:left="567"/>
        <w:rPr>
          <w:rFonts w:ascii="Arial" w:hAnsi="Arial" w:cs="Arial"/>
        </w:rPr>
      </w:pPr>
      <w:r w:rsidRPr="00AD1F33">
        <w:rPr>
          <w:rFonts w:ascii="Arial" w:hAnsi="Arial" w:cs="Arial"/>
        </w:rPr>
        <w:t>Interessierten Unternehmen wird empfohlen, sich frühzeitig auf der Vergabeplattform zu registrieren und die Teilnahme am hiesigen Vergabeverfahren zu aktivieren, um automatisch über Informationen zum Vergabeverfahren eine gesonderte Benachrichtigung zu erhalten. Ungeachtet dessen sind die Teilnehmer verpflichtet, sich während des gesamten Vergabeverfahrens regelmäßig und eigenverantwortlich über den aktuellen Sachstand (z. B. neue Bieterinformationen und/oder neue Unterlagen) der Ausschreibung zu informieren. Sie haben selbstständig regelmäßig zu überprüfen, ob neue Mitteilungen an der bezeichneten Stelle hinterlegt wurden. Eine separate Information der Teilnehmer durch die Auftraggeberin erfolgt nicht. Die Mitteilungen werden Bestandteil der Vergabeunterlagen und sind bei der Ausarbeitung des Angebotes zugrunde zu legen.</w:t>
      </w:r>
    </w:p>
    <w:p w14:paraId="6A0F3779"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25" w:name="_Ref24962410"/>
      <w:bookmarkStart w:id="26" w:name="_Ref88824132"/>
      <w:bookmarkStart w:id="27" w:name="_Toc214641433"/>
      <w:bookmarkStart w:id="28" w:name="_Toc230266752"/>
      <w:bookmarkEnd w:id="25"/>
      <w:r w:rsidRPr="00AD1F33">
        <w:rPr>
          <w:rFonts w:ascii="Arial" w:hAnsi="Arial" w:cs="Arial"/>
        </w:rPr>
        <w:lastRenderedPageBreak/>
        <w:t>Beteiligungsformen am Vergabeverfahren</w:t>
      </w:r>
      <w:bookmarkEnd w:id="26"/>
      <w:bookmarkEnd w:id="27"/>
      <w:bookmarkEnd w:id="28"/>
    </w:p>
    <w:p w14:paraId="6A0F377A" w14:textId="77777777" w:rsidR="0078761A" w:rsidRPr="00AD1F33" w:rsidRDefault="005F4EE4">
      <w:pPr>
        <w:spacing w:before="120" w:after="120" w:line="360" w:lineRule="auto"/>
        <w:ind w:left="567"/>
        <w:rPr>
          <w:rFonts w:ascii="Arial" w:hAnsi="Arial" w:cs="Arial"/>
        </w:rPr>
      </w:pPr>
      <w:r w:rsidRPr="00AD1F33">
        <w:rPr>
          <w:rFonts w:ascii="Arial" w:hAnsi="Arial" w:cs="Arial"/>
        </w:rPr>
        <w:t>Es werden sowohl Angebote einzelner Unternehmen als auch von Bietergemeinschaften zugelassen (natürliche und juristische Personen). Rechtlich eigenständige Schwesterunternehmen z.B. eines Konzerns gelten als jeweils einzelne Büros oder Unternehmen. Das bedeutet, dass ein Unternehmen, das sein rechtlich eigenständiges Schwesterunternehmen einbeziehen will, entweder mit diesem eine Bietergemeinschaft bilden oder dieses als Nachunternehmer einsetzen muss.</w:t>
      </w:r>
    </w:p>
    <w:p w14:paraId="6A0F377B" w14:textId="77777777" w:rsidR="0078761A" w:rsidRPr="00AD1F33" w:rsidRDefault="005F4EE4">
      <w:pPr>
        <w:spacing w:before="120" w:after="120" w:line="360" w:lineRule="auto"/>
        <w:ind w:left="567"/>
        <w:rPr>
          <w:rFonts w:ascii="Arial" w:hAnsi="Arial" w:cs="Arial"/>
        </w:rPr>
      </w:pPr>
      <w:r w:rsidRPr="00AD1F33">
        <w:rPr>
          <w:rFonts w:ascii="Arial" w:hAnsi="Arial" w:cs="Arial"/>
        </w:rPr>
        <w:t>Bietergemeinschaften haben mit ihrem Angebot eine Erklärung abzugeben (Formblatt 2.6), in der alle Mitglieder angeführt sind und ein bevollmächtigtes Mitglied benannt ist, welches die Bietergemeinschaft sowie ihre Mitglieder gegenüber der Vergabestelle vertritt. Die Mitglieder der Bietergemeinschaft haften gesamtschuldnerisch. Auf Verlangen des Auftraggebers muss diese Erklärungen von allen Mitgliedern der Bietergemeinschaft unterzeichnet und sodann dem Auftraggeber übermittelt werden.</w:t>
      </w:r>
    </w:p>
    <w:p w14:paraId="6A0F377C" w14:textId="77777777" w:rsidR="0078761A" w:rsidRPr="00AD1F33" w:rsidRDefault="005F4EE4">
      <w:pPr>
        <w:spacing w:before="120" w:after="120" w:line="360" w:lineRule="auto"/>
        <w:ind w:left="567"/>
        <w:rPr>
          <w:rFonts w:ascii="Arial" w:hAnsi="Arial" w:cs="Arial"/>
        </w:rPr>
      </w:pPr>
      <w:r w:rsidRPr="00AD1F33">
        <w:rPr>
          <w:rFonts w:ascii="Arial" w:hAnsi="Arial" w:cs="Arial"/>
        </w:rPr>
        <w:t>Der Bieter kann zum Nachweis der geforderten wirtschaftlichen und finanziellen sowie technischen und beruflichen Leistungsfähigkeit in sein Angebot andere Unternehmen einbeziehen (Eignungsleihe). Auch ein rechtlich eigenständiges Schwester-/Mutter-/Tochterunternehmen ist ein anderes Unternehmen in diesem Sinne. Für diese einbezogenen Unternehmen gelten dazu dieselben Vorgaben und Anforderungen wie für den Bieter selbst. Werden Leistungen an andere Unternehmen im Rahmen der Eignungsleihe vergeben, so kann sich der Bieter für diese Leistungen die von den benannten anderen Unternehmen eingebrachten Referenzen, Nachweise und Unterlagen zurechnen wie seine eigenen. Dazu hat er in seinem Angebot Art und Umfang der durch die vorgenannten anderen Unternehmen auszuführenden Leistungen jeweils konkret anzugeben (Formblatt 2.7).</w:t>
      </w:r>
    </w:p>
    <w:p w14:paraId="6A0F377D" w14:textId="77777777" w:rsidR="0078761A" w:rsidRPr="00AD1F33" w:rsidRDefault="005F4EE4">
      <w:pPr>
        <w:spacing w:before="120" w:after="120" w:line="360" w:lineRule="auto"/>
        <w:ind w:left="567"/>
        <w:rPr>
          <w:rFonts w:ascii="Arial" w:hAnsi="Arial" w:cs="Arial"/>
        </w:rPr>
      </w:pPr>
      <w:r w:rsidRPr="00AD1F33">
        <w:rPr>
          <w:rFonts w:ascii="Arial" w:hAnsi="Arial" w:cs="Arial"/>
        </w:rPr>
        <w:t xml:space="preserve">Das/Die andere/n Unternehmen, deren Kapazitäten der Bieter zum Nachweis entsprechender Eignungskriterien in Anspruch nimmt, muss/müssen die für die Aus-führung des betreffenden Teils der Leistung erforderliche Eignung aufweisen. Nimmt ein Bieter die Kapazitäten eines anderen Unternehmens im Hinblick auf die erforderliche wirtschaftliche und finanzielle Leistungsfähigkeit in Anspruch, so ist eine gemeinsame Haftung des Bieters und des anderen Unternehmens für die Auftragsausführung entsprechend dem Umfang der Eignungsleihe vorgesehen; eine entsprechende Bestätigung ist auf Anforderung des Auftraggebers vorzulegen. Im Falle einer </w:t>
      </w:r>
      <w:r w:rsidRPr="00AD1F33">
        <w:rPr>
          <w:rFonts w:ascii="Arial" w:hAnsi="Arial" w:cs="Arial"/>
        </w:rPr>
        <w:lastRenderedPageBreak/>
        <w:t>Eignungsleihe für die technische und berufliche Leistungsfähigkeit ist das eignungsverleihende Unternehmen verpflichtet, jene Leistungen selbst auszuführen, für die er dem Bieter bzw. der Bietergemeinschaft die Eignung verleiht.</w:t>
      </w:r>
    </w:p>
    <w:p w14:paraId="6A0F377E" w14:textId="77777777" w:rsidR="0078761A" w:rsidRPr="00AD1F33" w:rsidRDefault="005F4EE4">
      <w:pPr>
        <w:spacing w:before="120" w:after="120" w:line="360" w:lineRule="auto"/>
        <w:ind w:left="567"/>
        <w:rPr>
          <w:rFonts w:ascii="Arial" w:hAnsi="Arial" w:cs="Arial"/>
        </w:rPr>
      </w:pPr>
      <w:r w:rsidRPr="00AD1F33">
        <w:rPr>
          <w:rFonts w:ascii="Arial" w:hAnsi="Arial" w:cs="Arial"/>
        </w:rPr>
        <w:t xml:space="preserve">Der Bieter hat nach Aufforderung durch den Auftraggeber durch eine Verpflichtungserklärung nachzuweisen, dass ihm die für die Ausführung der hier ausgeschriebenen Leistungen erforderlichen </w:t>
      </w:r>
      <w:proofErr w:type="gramStart"/>
      <w:r w:rsidRPr="00AD1F33">
        <w:rPr>
          <w:rFonts w:ascii="Arial" w:hAnsi="Arial" w:cs="Arial"/>
        </w:rPr>
        <w:t>Mittel</w:t>
      </w:r>
      <w:proofErr w:type="gramEnd"/>
      <w:r w:rsidRPr="00AD1F33">
        <w:rPr>
          <w:rFonts w:ascii="Arial" w:hAnsi="Arial" w:cs="Arial"/>
        </w:rPr>
        <w:t xml:space="preserve"> der im Rahmen der Eignungsleihe einbezogenen Unternehmen tatsächlich zur Verfügung stehen werden (Formblatt 2.8). Die Beurteilung der Eignung des Bieters erfolgt insofern im Hinblick auf die wirtschaftliche und finanzielle bzw. technische und berufliche Leistungsfähigkeit auf einer Gesamtschau, sofern nicht ausdrücklich Abweichendes bestimmt ist.</w:t>
      </w:r>
    </w:p>
    <w:p w14:paraId="6A0F377F" w14:textId="77777777" w:rsidR="0078761A" w:rsidRPr="00AD1F33" w:rsidRDefault="005F4EE4">
      <w:pPr>
        <w:pStyle w:val="berschrift1"/>
        <w:spacing w:before="240" w:after="240" w:line="360" w:lineRule="auto"/>
        <w:ind w:hanging="567"/>
        <w:rPr>
          <w:rFonts w:ascii="Arial" w:hAnsi="Arial" w:cs="Arial"/>
        </w:rPr>
      </w:pPr>
      <w:bookmarkStart w:id="29" w:name="_Toc214641434"/>
      <w:bookmarkStart w:id="30" w:name="_Toc230266753"/>
      <w:bookmarkStart w:id="31" w:name="_Ref43804976"/>
      <w:r w:rsidRPr="00AD1F33">
        <w:rPr>
          <w:rFonts w:ascii="Arial" w:hAnsi="Arial" w:cs="Arial"/>
        </w:rPr>
        <w:t>Ablauf des Vergabeverfahrens</w:t>
      </w:r>
      <w:bookmarkEnd w:id="29"/>
      <w:bookmarkEnd w:id="30"/>
      <w:r w:rsidRPr="00AD1F33">
        <w:rPr>
          <w:rFonts w:ascii="Arial" w:hAnsi="Arial" w:cs="Arial"/>
        </w:rPr>
        <w:t xml:space="preserve"> </w:t>
      </w:r>
      <w:bookmarkEnd w:id="31"/>
    </w:p>
    <w:p w14:paraId="4BF6C08E" w14:textId="08431F54" w:rsidR="00BA7DB4" w:rsidRPr="00AD1F33" w:rsidRDefault="00BA7DB4" w:rsidP="00BA7DB4">
      <w:pPr>
        <w:spacing w:before="120" w:after="120" w:line="360" w:lineRule="auto"/>
        <w:ind w:left="567"/>
        <w:rPr>
          <w:rFonts w:ascii="Arial" w:hAnsi="Arial" w:cs="Arial"/>
        </w:rPr>
      </w:pPr>
      <w:r w:rsidRPr="00AD1F33">
        <w:rPr>
          <w:rFonts w:ascii="Arial" w:hAnsi="Arial" w:cs="Arial"/>
        </w:rPr>
        <w:t xml:space="preserve">Die Leistung wird im Rahmen eines offenen Verfahrens mit vorheriger Auftragsbekanntmachung im Amtsblatt der Europäischen Union gemäß </w:t>
      </w:r>
      <w:r w:rsidR="00971140" w:rsidRPr="00AD1F33">
        <w:rPr>
          <w:rFonts w:ascii="Arial" w:hAnsi="Arial" w:cs="Arial"/>
        </w:rPr>
        <w:t xml:space="preserve">§ 15 VgV </w:t>
      </w:r>
      <w:r w:rsidRPr="00AD1F33">
        <w:rPr>
          <w:rFonts w:ascii="Arial" w:hAnsi="Arial" w:cs="Arial"/>
        </w:rPr>
        <w:t>ausgeschrieben.</w:t>
      </w:r>
    </w:p>
    <w:p w14:paraId="5445F6A1" w14:textId="77777777" w:rsidR="00BA7DB4" w:rsidRPr="00AD1F33" w:rsidRDefault="00BA7DB4" w:rsidP="00BA7DB4">
      <w:pPr>
        <w:spacing w:before="120" w:after="120" w:line="360" w:lineRule="auto"/>
        <w:ind w:left="567"/>
        <w:rPr>
          <w:rFonts w:ascii="Arial" w:hAnsi="Arial" w:cs="Arial"/>
        </w:rPr>
      </w:pPr>
      <w:r w:rsidRPr="00AD1F33">
        <w:rPr>
          <w:rFonts w:ascii="Arial" w:hAnsi="Arial" w:cs="Arial"/>
        </w:rPr>
        <w:t>Jedes interessierte Unternehmen kann ein Angebot abgeben. Mit dem Angebot sind die geforderten Erklärungen und Nachweise einzureichen.</w:t>
      </w:r>
    </w:p>
    <w:p w14:paraId="1B135FAC" w14:textId="77777777" w:rsidR="00BA7DB4" w:rsidRPr="00AD1F33" w:rsidRDefault="00BA7DB4" w:rsidP="00BA7DB4">
      <w:pPr>
        <w:spacing w:before="120" w:after="120" w:line="360" w:lineRule="auto"/>
        <w:ind w:left="567"/>
        <w:rPr>
          <w:rFonts w:ascii="Arial" w:hAnsi="Arial" w:cs="Arial"/>
        </w:rPr>
      </w:pPr>
      <w:r w:rsidRPr="00AD1F33">
        <w:rPr>
          <w:rFonts w:ascii="Arial" w:hAnsi="Arial" w:cs="Arial"/>
        </w:rPr>
        <w:t>Die Angebote werden zunächst in formaler Hinsicht geprüft. Angebote, die nicht fristgerecht eingegangen sind, unvollständig sind oder die formellen Anforderungen nicht erfüllen, werden nicht zur Wertung zugelassen.</w:t>
      </w:r>
    </w:p>
    <w:p w14:paraId="514A1383" w14:textId="77777777" w:rsidR="00BA7DB4" w:rsidRPr="00AD1F33" w:rsidRDefault="00BA7DB4" w:rsidP="00BA7DB4">
      <w:pPr>
        <w:spacing w:before="120" w:after="120" w:line="360" w:lineRule="auto"/>
        <w:ind w:left="567"/>
        <w:rPr>
          <w:rFonts w:ascii="Arial" w:hAnsi="Arial" w:cs="Arial"/>
        </w:rPr>
      </w:pPr>
      <w:r w:rsidRPr="00AD1F33">
        <w:rPr>
          <w:rFonts w:ascii="Arial" w:hAnsi="Arial" w:cs="Arial"/>
        </w:rPr>
        <w:t>Für den Fall fehlender, unvollständiger oder sonst fehlerhafter Angebote bzw. Angebotsbestandteile behält sich die Vergabestelle vor, die betroffenen Bieter unter Beachtung der Grundsätze der Gleichbehandlung und des Wettbewerbs aufzufordern, fehlende, unvollständige oder fehlerhafte Unterlagen nachzureichen, zu vervollständigen oder zu korrigieren. Es wird jedoch darauf hingewiesen, dass die Vergabestelle hierzu nicht verpflichtet ist und das Fehlen geforderter Unterlagen oder Angaben zum Ausschluss des betroffenen Angebots führen kann. Die Auftraggeberin wird dabei die vergaberechtlichen Grundsätze – insbesondere Gleichbehandlung und Transparenz – stets angemessen berücksichtigen. Die Berücksichtigung nachgereichter Unterlagen ist zudem ausgeschlossen, wenn dadurch die Wertungsreihenfolge beeinträchtigt werden könnte. Die Bieter haben daher sorgfältig darauf zu achten, dass die Angebote alle erforderlichen Angaben, Nachweise und Erklärungen enthalten.</w:t>
      </w:r>
    </w:p>
    <w:p w14:paraId="6A0F3784" w14:textId="77777777" w:rsidR="0078761A" w:rsidRPr="00AD1F33" w:rsidRDefault="005F4EE4">
      <w:pPr>
        <w:spacing w:before="120" w:after="120" w:line="360" w:lineRule="auto"/>
        <w:ind w:left="567"/>
        <w:rPr>
          <w:rFonts w:ascii="Arial" w:hAnsi="Arial" w:cs="Arial"/>
        </w:rPr>
      </w:pPr>
      <w:r w:rsidRPr="00AD1F33">
        <w:rPr>
          <w:rFonts w:ascii="Arial" w:hAnsi="Arial" w:cs="Arial"/>
          <w:b/>
          <w:u w:val="single"/>
        </w:rPr>
        <w:lastRenderedPageBreak/>
        <w:t>Hinweis:</w:t>
      </w:r>
      <w:r w:rsidRPr="00AD1F33">
        <w:rPr>
          <w:rFonts w:ascii="Arial" w:hAnsi="Arial" w:cs="Arial"/>
        </w:rPr>
        <w:t xml:space="preserve"> Es finden im Rahmen des offenen Verfahrens keine Verhandlungen über die Angebote statt. Der Zuschlag wird auf das wirtschaftlichste Angebot erteilt. Die Ermittlung des wirtschaftlichsten Angebots erfolgt anhand der in den Vergabeunterlagen festgelegten Zuschlagskriterien.</w:t>
      </w:r>
    </w:p>
    <w:p w14:paraId="6A0F3785"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32" w:name="_Toc208428761"/>
      <w:bookmarkStart w:id="33" w:name="_Toc214641435"/>
      <w:bookmarkStart w:id="34" w:name="_Toc230266754"/>
      <w:r w:rsidRPr="00AD1F33">
        <w:rPr>
          <w:rFonts w:ascii="Arial" w:hAnsi="Arial" w:cs="Arial"/>
        </w:rPr>
        <w:t>Voraussichtlicher Terminplan</w:t>
      </w:r>
      <w:bookmarkEnd w:id="32"/>
      <w:bookmarkEnd w:id="33"/>
      <w:bookmarkEnd w:id="34"/>
    </w:p>
    <w:p w14:paraId="6A0F3786" w14:textId="3A9FD379" w:rsidR="0078761A" w:rsidRPr="00AD1F33" w:rsidRDefault="005F4EE4">
      <w:pPr>
        <w:spacing w:before="120" w:after="120" w:line="360" w:lineRule="auto"/>
        <w:ind w:left="567"/>
        <w:rPr>
          <w:rFonts w:ascii="Arial" w:hAnsi="Arial" w:cs="Arial"/>
        </w:rPr>
      </w:pPr>
      <w:r w:rsidRPr="00AD1F33">
        <w:rPr>
          <w:rFonts w:ascii="Arial" w:hAnsi="Arial" w:cs="Arial"/>
        </w:rPr>
        <w:t>Der folgende Überblick stellt den derzeit geplanten Verfahrensablauf dar. Der Zeitplan ist nicht verbindlich. Die Auftraggeberin behält sich vor, den vorgesehenen Ablauf unter Berücksichtigung des Wettbewerbs- und des Gleichbehandlungsgrundsatzes falls erforderlich anzupassen und insbesondere die vorgesehenen Fristen zu verlängern oder zu verkürzen. Etwaige Fristverlängerungen etc. werden über die Vergabeplattform DTVP bekanntgemacht.</w:t>
      </w:r>
    </w:p>
    <w:tbl>
      <w:tblPr>
        <w:tblW w:w="8501" w:type="dxa"/>
        <w:tblInd w:w="562" w:type="dxa"/>
        <w:tblLayout w:type="fixed"/>
        <w:tblCellMar>
          <w:left w:w="70" w:type="dxa"/>
          <w:right w:w="70" w:type="dxa"/>
        </w:tblCellMar>
        <w:tblLook w:val="0000" w:firstRow="0" w:lastRow="0" w:firstColumn="0" w:lastColumn="0" w:noHBand="0" w:noVBand="0"/>
      </w:tblPr>
      <w:tblGrid>
        <w:gridCol w:w="3402"/>
        <w:gridCol w:w="5099"/>
      </w:tblGrid>
      <w:tr w:rsidR="0078761A" w:rsidRPr="00AD1F33" w14:paraId="6A0F3789" w14:textId="77777777" w:rsidTr="00AD1F33">
        <w:tc>
          <w:tcPr>
            <w:tcW w:w="3402" w:type="dxa"/>
            <w:tcBorders>
              <w:top w:val="single" w:sz="4" w:space="0" w:color="000000"/>
              <w:left w:val="single" w:sz="4" w:space="0" w:color="000000"/>
              <w:bottom w:val="single" w:sz="4" w:space="0" w:color="000000"/>
              <w:right w:val="single" w:sz="4" w:space="0" w:color="000000"/>
            </w:tcBorders>
            <w:shd w:val="clear" w:color="auto" w:fill="ACA8A8" w:themeFill="accent3" w:themeFillTint="99"/>
          </w:tcPr>
          <w:p w14:paraId="6A0F3787" w14:textId="77777777" w:rsidR="0078761A" w:rsidRPr="00AD1F33" w:rsidRDefault="005F4EE4">
            <w:pPr>
              <w:spacing w:before="120" w:after="120" w:line="360" w:lineRule="auto"/>
              <w:jc w:val="center"/>
              <w:rPr>
                <w:rFonts w:ascii="Arial" w:hAnsi="Arial" w:cs="Arial"/>
                <w:b/>
                <w:color w:val="FFFFFF" w:themeColor="background1"/>
              </w:rPr>
            </w:pPr>
            <w:r w:rsidRPr="00AD1F33">
              <w:rPr>
                <w:rFonts w:ascii="Arial" w:hAnsi="Arial" w:cs="Arial"/>
                <w:b/>
                <w:color w:val="FFFFFF" w:themeColor="background1"/>
              </w:rPr>
              <w:t>Zeitraum/Datum</w:t>
            </w:r>
          </w:p>
        </w:tc>
        <w:tc>
          <w:tcPr>
            <w:tcW w:w="5099" w:type="dxa"/>
            <w:tcBorders>
              <w:top w:val="single" w:sz="4" w:space="0" w:color="000000"/>
              <w:left w:val="single" w:sz="4" w:space="0" w:color="000000"/>
              <w:bottom w:val="single" w:sz="4" w:space="0" w:color="000000"/>
              <w:right w:val="single" w:sz="4" w:space="0" w:color="000000"/>
            </w:tcBorders>
            <w:shd w:val="clear" w:color="auto" w:fill="ACA8A8" w:themeFill="accent3" w:themeFillTint="99"/>
          </w:tcPr>
          <w:p w14:paraId="6A0F3788" w14:textId="77777777" w:rsidR="0078761A" w:rsidRPr="00AD1F33" w:rsidRDefault="005F4EE4">
            <w:pPr>
              <w:spacing w:before="120" w:after="120" w:line="360" w:lineRule="auto"/>
              <w:jc w:val="center"/>
              <w:rPr>
                <w:rFonts w:ascii="Arial" w:hAnsi="Arial" w:cs="Arial"/>
                <w:b/>
                <w:color w:val="FFFFFF" w:themeColor="background1"/>
              </w:rPr>
            </w:pPr>
            <w:r w:rsidRPr="00AD1F33">
              <w:rPr>
                <w:rFonts w:ascii="Arial" w:hAnsi="Arial" w:cs="Arial"/>
                <w:b/>
                <w:color w:val="FFFFFF" w:themeColor="background1"/>
              </w:rPr>
              <w:t>Vorgang</w:t>
            </w:r>
          </w:p>
        </w:tc>
      </w:tr>
      <w:tr w:rsidR="001E1D4C" w:rsidRPr="00AD1F33" w14:paraId="6A0F378C" w14:textId="77777777" w:rsidTr="00AD1F33">
        <w:tc>
          <w:tcPr>
            <w:tcW w:w="3402" w:type="dxa"/>
            <w:tcBorders>
              <w:top w:val="single" w:sz="4" w:space="0" w:color="000000"/>
              <w:left w:val="single" w:sz="4" w:space="0" w:color="000000"/>
              <w:bottom w:val="single" w:sz="4" w:space="0" w:color="000000"/>
              <w:right w:val="single" w:sz="4" w:space="0" w:color="000000"/>
            </w:tcBorders>
            <w:vAlign w:val="center"/>
          </w:tcPr>
          <w:p w14:paraId="6A0F378A" w14:textId="1DD4F153" w:rsidR="001E1D4C" w:rsidRPr="00AD1F33" w:rsidRDefault="001E1D4C" w:rsidP="001E1D4C">
            <w:pPr>
              <w:spacing w:before="120" w:after="120"/>
              <w:rPr>
                <w:rFonts w:ascii="Arial" w:hAnsi="Arial" w:cs="Arial"/>
                <w:szCs w:val="22"/>
              </w:rPr>
            </w:pPr>
            <w:r w:rsidRPr="00AD1F33">
              <w:rPr>
                <w:rFonts w:ascii="Arial" w:hAnsi="Arial" w:cs="Arial"/>
                <w:b/>
                <w:bCs/>
                <w:color w:val="25282A"/>
                <w:szCs w:val="22"/>
              </w:rPr>
              <w:t>Mi, 27.05.2026</w:t>
            </w:r>
          </w:p>
        </w:tc>
        <w:tc>
          <w:tcPr>
            <w:tcW w:w="5099" w:type="dxa"/>
            <w:tcBorders>
              <w:top w:val="single" w:sz="4" w:space="0" w:color="000000"/>
              <w:left w:val="single" w:sz="4" w:space="0" w:color="000000"/>
              <w:bottom w:val="single" w:sz="4" w:space="0" w:color="000000"/>
              <w:right w:val="single" w:sz="4" w:space="0" w:color="000000"/>
            </w:tcBorders>
            <w:vAlign w:val="center"/>
          </w:tcPr>
          <w:p w14:paraId="6A0F378B" w14:textId="287D50CF" w:rsidR="001E1D4C" w:rsidRPr="00AD1F33" w:rsidRDefault="001E1D4C" w:rsidP="001E1D4C">
            <w:pPr>
              <w:spacing w:before="120" w:after="120"/>
              <w:rPr>
                <w:rFonts w:ascii="Arial" w:hAnsi="Arial" w:cs="Arial"/>
                <w:szCs w:val="22"/>
              </w:rPr>
            </w:pPr>
            <w:r w:rsidRPr="00AD1F33">
              <w:rPr>
                <w:rFonts w:ascii="Arial" w:hAnsi="Arial" w:cs="Arial"/>
                <w:color w:val="25282A"/>
                <w:szCs w:val="22"/>
              </w:rPr>
              <w:t>Versand Bekanntmachung</w:t>
            </w:r>
          </w:p>
        </w:tc>
      </w:tr>
      <w:tr w:rsidR="001E1D4C" w:rsidRPr="00AD1F33" w14:paraId="6A0F378F" w14:textId="77777777" w:rsidTr="00AD1F33">
        <w:tc>
          <w:tcPr>
            <w:tcW w:w="3402" w:type="dxa"/>
            <w:tcBorders>
              <w:top w:val="single" w:sz="4" w:space="0" w:color="000000"/>
              <w:left w:val="single" w:sz="4" w:space="0" w:color="000000"/>
              <w:bottom w:val="single" w:sz="4" w:space="0" w:color="000000"/>
              <w:right w:val="single" w:sz="4" w:space="0" w:color="000000"/>
            </w:tcBorders>
            <w:vAlign w:val="center"/>
          </w:tcPr>
          <w:p w14:paraId="6A0F378D" w14:textId="1F1587FB" w:rsidR="001E1D4C" w:rsidRPr="00AD1F33" w:rsidRDefault="001E1D4C" w:rsidP="001E1D4C">
            <w:pPr>
              <w:spacing w:before="120" w:after="120"/>
              <w:rPr>
                <w:rFonts w:ascii="Arial" w:hAnsi="Arial" w:cs="Arial"/>
                <w:szCs w:val="22"/>
              </w:rPr>
            </w:pPr>
            <w:r w:rsidRPr="00AD1F33">
              <w:rPr>
                <w:rFonts w:ascii="Arial" w:hAnsi="Arial" w:cs="Arial"/>
                <w:b/>
                <w:bCs/>
                <w:color w:val="25282A"/>
                <w:szCs w:val="22"/>
              </w:rPr>
              <w:t>Mi, 27.05.2026</w:t>
            </w:r>
          </w:p>
        </w:tc>
        <w:tc>
          <w:tcPr>
            <w:tcW w:w="5099" w:type="dxa"/>
            <w:tcBorders>
              <w:top w:val="single" w:sz="4" w:space="0" w:color="000000"/>
              <w:left w:val="single" w:sz="4" w:space="0" w:color="000000"/>
              <w:bottom w:val="single" w:sz="4" w:space="0" w:color="000000"/>
              <w:right w:val="single" w:sz="4" w:space="0" w:color="000000"/>
            </w:tcBorders>
            <w:vAlign w:val="center"/>
          </w:tcPr>
          <w:p w14:paraId="6A0F378E" w14:textId="6A91D0FD" w:rsidR="001E1D4C" w:rsidRPr="00AD1F33" w:rsidRDefault="001E1D4C" w:rsidP="001E1D4C">
            <w:pPr>
              <w:spacing w:before="120" w:after="120"/>
              <w:rPr>
                <w:rFonts w:ascii="Arial" w:hAnsi="Arial" w:cs="Arial"/>
                <w:szCs w:val="22"/>
              </w:rPr>
            </w:pPr>
            <w:r w:rsidRPr="00AD1F33">
              <w:rPr>
                <w:rFonts w:ascii="Arial" w:hAnsi="Arial" w:cs="Arial"/>
                <w:color w:val="25282A"/>
                <w:szCs w:val="22"/>
              </w:rPr>
              <w:t>Aufforderung zur Abgabe eines Angebots</w:t>
            </w:r>
          </w:p>
        </w:tc>
      </w:tr>
      <w:tr w:rsidR="001E1D4C" w:rsidRPr="00AD1F33" w14:paraId="3F9A6423" w14:textId="77777777" w:rsidTr="00AD1F33">
        <w:tc>
          <w:tcPr>
            <w:tcW w:w="3402" w:type="dxa"/>
            <w:tcBorders>
              <w:top w:val="single" w:sz="4" w:space="0" w:color="000000"/>
              <w:left w:val="single" w:sz="4" w:space="0" w:color="000000"/>
              <w:bottom w:val="single" w:sz="4" w:space="0" w:color="000000"/>
              <w:right w:val="single" w:sz="4" w:space="0" w:color="000000"/>
            </w:tcBorders>
            <w:vAlign w:val="center"/>
          </w:tcPr>
          <w:p w14:paraId="35D028CF" w14:textId="6ADBF36A" w:rsidR="001E1D4C" w:rsidRPr="00AD1F33" w:rsidRDefault="001E1D4C" w:rsidP="001E1D4C">
            <w:pPr>
              <w:spacing w:before="120" w:after="120"/>
              <w:rPr>
                <w:rFonts w:ascii="Arial" w:hAnsi="Arial" w:cs="Arial"/>
                <w:szCs w:val="22"/>
              </w:rPr>
            </w:pPr>
            <w:r w:rsidRPr="00AD1F33">
              <w:rPr>
                <w:rFonts w:ascii="Arial" w:hAnsi="Arial" w:cs="Arial"/>
                <w:b/>
                <w:bCs/>
                <w:color w:val="25282A"/>
                <w:szCs w:val="22"/>
              </w:rPr>
              <w:t>Mi, 17.06.2026</w:t>
            </w:r>
          </w:p>
        </w:tc>
        <w:tc>
          <w:tcPr>
            <w:tcW w:w="5099" w:type="dxa"/>
            <w:tcBorders>
              <w:top w:val="single" w:sz="4" w:space="0" w:color="000000"/>
              <w:left w:val="single" w:sz="4" w:space="0" w:color="000000"/>
              <w:bottom w:val="single" w:sz="4" w:space="0" w:color="000000"/>
              <w:right w:val="single" w:sz="4" w:space="0" w:color="000000"/>
            </w:tcBorders>
            <w:vAlign w:val="center"/>
          </w:tcPr>
          <w:p w14:paraId="0DBA4FF7" w14:textId="770B7829" w:rsidR="001E1D4C" w:rsidRPr="00AD1F33" w:rsidRDefault="001E1D4C" w:rsidP="001E1D4C">
            <w:pPr>
              <w:spacing w:before="120" w:after="120"/>
              <w:rPr>
                <w:rFonts w:ascii="Arial" w:hAnsi="Arial" w:cs="Arial"/>
                <w:szCs w:val="22"/>
              </w:rPr>
            </w:pPr>
            <w:r w:rsidRPr="00AD1F33">
              <w:rPr>
                <w:rFonts w:ascii="Arial" w:hAnsi="Arial" w:cs="Arial"/>
                <w:color w:val="25282A"/>
                <w:szCs w:val="22"/>
              </w:rPr>
              <w:t>Frist zur Einreichung von Bieterfragen (12:00 Uhr)</w:t>
            </w:r>
          </w:p>
        </w:tc>
      </w:tr>
      <w:tr w:rsidR="001E1D4C" w:rsidRPr="00AD1F33" w14:paraId="6A0F3792" w14:textId="77777777" w:rsidTr="00AD1F33">
        <w:tc>
          <w:tcPr>
            <w:tcW w:w="3402" w:type="dxa"/>
            <w:tcBorders>
              <w:top w:val="single" w:sz="4" w:space="0" w:color="000000"/>
              <w:left w:val="single" w:sz="4" w:space="0" w:color="000000"/>
              <w:bottom w:val="single" w:sz="4" w:space="0" w:color="000000"/>
              <w:right w:val="single" w:sz="4" w:space="0" w:color="000000"/>
            </w:tcBorders>
            <w:vAlign w:val="center"/>
          </w:tcPr>
          <w:p w14:paraId="6A0F3790" w14:textId="508DC801" w:rsidR="001E1D4C" w:rsidRPr="00AD1F33" w:rsidRDefault="001E1D4C" w:rsidP="001E1D4C">
            <w:pPr>
              <w:spacing w:before="120" w:after="120"/>
              <w:rPr>
                <w:rFonts w:ascii="Arial" w:hAnsi="Arial" w:cs="Arial"/>
                <w:szCs w:val="22"/>
              </w:rPr>
            </w:pPr>
            <w:r w:rsidRPr="00AD1F33">
              <w:rPr>
                <w:rFonts w:ascii="Arial" w:hAnsi="Arial" w:cs="Arial"/>
                <w:b/>
                <w:bCs/>
                <w:color w:val="25282A"/>
                <w:szCs w:val="22"/>
              </w:rPr>
              <w:t>Do, 18.06.2026</w:t>
            </w:r>
          </w:p>
        </w:tc>
        <w:tc>
          <w:tcPr>
            <w:tcW w:w="5099" w:type="dxa"/>
            <w:tcBorders>
              <w:top w:val="single" w:sz="4" w:space="0" w:color="000000"/>
              <w:left w:val="single" w:sz="4" w:space="0" w:color="000000"/>
              <w:bottom w:val="single" w:sz="4" w:space="0" w:color="000000"/>
              <w:right w:val="single" w:sz="4" w:space="0" w:color="000000"/>
            </w:tcBorders>
            <w:vAlign w:val="center"/>
          </w:tcPr>
          <w:p w14:paraId="6A0F3791" w14:textId="0E0DBF93" w:rsidR="001E1D4C" w:rsidRPr="00AD1F33" w:rsidRDefault="001E1D4C" w:rsidP="001E1D4C">
            <w:pPr>
              <w:spacing w:before="120" w:after="120"/>
              <w:rPr>
                <w:rFonts w:ascii="Arial" w:hAnsi="Arial" w:cs="Arial"/>
                <w:szCs w:val="22"/>
              </w:rPr>
            </w:pPr>
            <w:r w:rsidRPr="00AD1F33">
              <w:rPr>
                <w:rFonts w:ascii="Arial" w:hAnsi="Arial" w:cs="Arial"/>
                <w:color w:val="25282A"/>
                <w:szCs w:val="22"/>
              </w:rPr>
              <w:t>Beantwortung Bieterfragen (voraussichtlich)</w:t>
            </w:r>
          </w:p>
        </w:tc>
      </w:tr>
      <w:tr w:rsidR="001E1D4C" w:rsidRPr="00AD1F33" w14:paraId="6A0F3795" w14:textId="77777777" w:rsidTr="00AD1F33">
        <w:tc>
          <w:tcPr>
            <w:tcW w:w="3402" w:type="dxa"/>
            <w:tcBorders>
              <w:top w:val="single" w:sz="4" w:space="0" w:color="000000"/>
              <w:left w:val="single" w:sz="4" w:space="0" w:color="000000"/>
              <w:bottom w:val="single" w:sz="4" w:space="0" w:color="000000"/>
              <w:right w:val="single" w:sz="4" w:space="0" w:color="000000"/>
            </w:tcBorders>
            <w:vAlign w:val="center"/>
          </w:tcPr>
          <w:p w14:paraId="6A0F3793" w14:textId="1E8FFB1D" w:rsidR="001E1D4C" w:rsidRPr="00AD1F33" w:rsidRDefault="001E1D4C" w:rsidP="001E1D4C">
            <w:pPr>
              <w:spacing w:before="120" w:after="120"/>
              <w:rPr>
                <w:rFonts w:ascii="Arial" w:hAnsi="Arial" w:cs="Arial"/>
                <w:szCs w:val="22"/>
              </w:rPr>
            </w:pPr>
            <w:r w:rsidRPr="00AD1F33">
              <w:rPr>
                <w:rFonts w:ascii="Arial" w:hAnsi="Arial" w:cs="Arial"/>
                <w:b/>
                <w:bCs/>
                <w:color w:val="25282A"/>
                <w:szCs w:val="22"/>
              </w:rPr>
              <w:t>Mo, 29.06.2026, 12:00 Uhr</w:t>
            </w:r>
            <w:r w:rsidRPr="00AD1F33">
              <w:rPr>
                <w:rFonts w:ascii="Arial" w:hAnsi="Arial" w:cs="Arial"/>
                <w:color w:val="25282A"/>
                <w:szCs w:val="22"/>
              </w:rPr>
              <w:t xml:space="preserve"> </w:t>
            </w:r>
          </w:p>
        </w:tc>
        <w:tc>
          <w:tcPr>
            <w:tcW w:w="5099" w:type="dxa"/>
            <w:tcBorders>
              <w:top w:val="single" w:sz="4" w:space="0" w:color="000000"/>
              <w:left w:val="single" w:sz="4" w:space="0" w:color="000000"/>
              <w:bottom w:val="single" w:sz="4" w:space="0" w:color="000000"/>
              <w:right w:val="single" w:sz="4" w:space="0" w:color="000000"/>
            </w:tcBorders>
            <w:vAlign w:val="center"/>
          </w:tcPr>
          <w:p w14:paraId="6A0F3794" w14:textId="407B157D" w:rsidR="001E1D4C" w:rsidRPr="00AD1F33" w:rsidRDefault="001E1D4C" w:rsidP="001E1D4C">
            <w:pPr>
              <w:spacing w:before="120" w:after="120"/>
              <w:rPr>
                <w:rFonts w:ascii="Arial" w:hAnsi="Arial" w:cs="Arial"/>
                <w:szCs w:val="22"/>
              </w:rPr>
            </w:pPr>
            <w:r w:rsidRPr="00AD1F33">
              <w:rPr>
                <w:rFonts w:ascii="Arial" w:hAnsi="Arial" w:cs="Arial"/>
                <w:color w:val="25282A"/>
                <w:szCs w:val="22"/>
              </w:rPr>
              <w:t>Frist zur Einreichung von Angeboten (Ausschlussfrist)</w:t>
            </w:r>
          </w:p>
        </w:tc>
      </w:tr>
      <w:tr w:rsidR="001E1D4C" w:rsidRPr="00AD1F33" w14:paraId="6A0F3798" w14:textId="77777777" w:rsidTr="00AD1F33">
        <w:tc>
          <w:tcPr>
            <w:tcW w:w="3402" w:type="dxa"/>
            <w:tcBorders>
              <w:top w:val="single" w:sz="4" w:space="0" w:color="000000"/>
              <w:left w:val="single" w:sz="4" w:space="0" w:color="000000"/>
              <w:bottom w:val="single" w:sz="4" w:space="0" w:color="000000"/>
              <w:right w:val="single" w:sz="4" w:space="0" w:color="000000"/>
            </w:tcBorders>
            <w:vAlign w:val="center"/>
          </w:tcPr>
          <w:p w14:paraId="6A0F3796" w14:textId="3F72E164" w:rsidR="001E1D4C" w:rsidRPr="00AD1F33" w:rsidRDefault="001E1D4C" w:rsidP="001E1D4C">
            <w:pPr>
              <w:spacing w:before="120" w:after="120"/>
              <w:rPr>
                <w:rFonts w:ascii="Arial" w:hAnsi="Arial" w:cs="Arial"/>
                <w:szCs w:val="22"/>
              </w:rPr>
            </w:pPr>
            <w:r w:rsidRPr="00AD1F33">
              <w:rPr>
                <w:rFonts w:ascii="Arial" w:hAnsi="Arial" w:cs="Arial"/>
                <w:b/>
                <w:bCs/>
                <w:color w:val="25282A"/>
                <w:szCs w:val="22"/>
              </w:rPr>
              <w:t>Mi, 29.07.2026</w:t>
            </w:r>
          </w:p>
        </w:tc>
        <w:tc>
          <w:tcPr>
            <w:tcW w:w="5099" w:type="dxa"/>
            <w:tcBorders>
              <w:top w:val="single" w:sz="4" w:space="0" w:color="000000"/>
              <w:left w:val="single" w:sz="4" w:space="0" w:color="000000"/>
              <w:bottom w:val="single" w:sz="4" w:space="0" w:color="000000"/>
              <w:right w:val="single" w:sz="4" w:space="0" w:color="000000"/>
            </w:tcBorders>
            <w:vAlign w:val="center"/>
          </w:tcPr>
          <w:p w14:paraId="6A0F3797" w14:textId="4CF420E5" w:rsidR="001E1D4C" w:rsidRPr="00AD1F33" w:rsidRDefault="001E1D4C" w:rsidP="001E1D4C">
            <w:pPr>
              <w:spacing w:before="120" w:after="120"/>
              <w:rPr>
                <w:rFonts w:ascii="Arial" w:hAnsi="Arial" w:cs="Arial"/>
                <w:szCs w:val="22"/>
              </w:rPr>
            </w:pPr>
            <w:r w:rsidRPr="00AD1F33">
              <w:rPr>
                <w:rFonts w:ascii="Arial" w:hAnsi="Arial" w:cs="Arial"/>
                <w:color w:val="25282A"/>
                <w:szCs w:val="22"/>
              </w:rPr>
              <w:t>Zuschlagserteilung (voraussichtlich)</w:t>
            </w:r>
          </w:p>
        </w:tc>
      </w:tr>
      <w:tr w:rsidR="001E1D4C" w:rsidRPr="00AD1F33" w14:paraId="6A0F379B" w14:textId="77777777" w:rsidTr="00AD1F33">
        <w:tc>
          <w:tcPr>
            <w:tcW w:w="3402" w:type="dxa"/>
            <w:tcBorders>
              <w:top w:val="single" w:sz="4" w:space="0" w:color="000000"/>
              <w:left w:val="single" w:sz="4" w:space="0" w:color="000000"/>
              <w:bottom w:val="single" w:sz="4" w:space="0" w:color="000000"/>
              <w:right w:val="single" w:sz="4" w:space="0" w:color="000000"/>
            </w:tcBorders>
            <w:vAlign w:val="center"/>
          </w:tcPr>
          <w:p w14:paraId="6A0F3799" w14:textId="218C518D" w:rsidR="001E1D4C" w:rsidRPr="00AD1F33" w:rsidRDefault="001E1D4C" w:rsidP="001E1D4C">
            <w:pPr>
              <w:spacing w:before="120" w:after="120"/>
              <w:rPr>
                <w:rFonts w:ascii="Arial" w:hAnsi="Arial" w:cs="Arial"/>
                <w:szCs w:val="22"/>
              </w:rPr>
            </w:pPr>
            <w:r w:rsidRPr="00AD1F33">
              <w:rPr>
                <w:rFonts w:ascii="Arial" w:hAnsi="Arial" w:cs="Arial"/>
                <w:b/>
                <w:bCs/>
                <w:color w:val="25282A"/>
                <w:szCs w:val="22"/>
              </w:rPr>
              <w:t>Mo, 05.10.2026</w:t>
            </w:r>
          </w:p>
        </w:tc>
        <w:tc>
          <w:tcPr>
            <w:tcW w:w="5099" w:type="dxa"/>
            <w:tcBorders>
              <w:top w:val="single" w:sz="4" w:space="0" w:color="000000"/>
              <w:left w:val="single" w:sz="4" w:space="0" w:color="000000"/>
              <w:bottom w:val="single" w:sz="4" w:space="0" w:color="000000"/>
              <w:right w:val="single" w:sz="4" w:space="0" w:color="000000"/>
            </w:tcBorders>
            <w:vAlign w:val="center"/>
          </w:tcPr>
          <w:p w14:paraId="6A0F379A" w14:textId="4C9ECBC7" w:rsidR="001E1D4C" w:rsidRPr="00AD1F33" w:rsidRDefault="001E1D4C" w:rsidP="001E1D4C">
            <w:pPr>
              <w:spacing w:before="120" w:after="120"/>
              <w:rPr>
                <w:rFonts w:ascii="Arial" w:hAnsi="Arial" w:cs="Arial"/>
                <w:szCs w:val="22"/>
              </w:rPr>
            </w:pPr>
            <w:r w:rsidRPr="00AD1F33">
              <w:rPr>
                <w:rFonts w:ascii="Arial" w:hAnsi="Arial" w:cs="Arial"/>
                <w:color w:val="25282A"/>
                <w:szCs w:val="22"/>
              </w:rPr>
              <w:t>Ablauf Bindefrist</w:t>
            </w:r>
          </w:p>
        </w:tc>
      </w:tr>
      <w:tr w:rsidR="001E1D4C" w:rsidRPr="00AD1F33" w14:paraId="6A0F379E" w14:textId="77777777" w:rsidTr="00AD1F33">
        <w:tc>
          <w:tcPr>
            <w:tcW w:w="3402" w:type="dxa"/>
            <w:tcBorders>
              <w:top w:val="single" w:sz="4" w:space="0" w:color="000000"/>
              <w:left w:val="single" w:sz="4" w:space="0" w:color="000000"/>
              <w:bottom w:val="single" w:sz="4" w:space="0" w:color="000000"/>
              <w:right w:val="single" w:sz="4" w:space="0" w:color="000000"/>
            </w:tcBorders>
            <w:vAlign w:val="center"/>
          </w:tcPr>
          <w:p w14:paraId="6A0F379C" w14:textId="5BF04A08" w:rsidR="001E1D4C" w:rsidRPr="00AD1F33" w:rsidRDefault="001E1D4C" w:rsidP="001E1D4C">
            <w:pPr>
              <w:spacing w:before="120" w:after="120"/>
              <w:rPr>
                <w:rFonts w:ascii="Arial" w:hAnsi="Arial" w:cs="Arial"/>
                <w:szCs w:val="22"/>
              </w:rPr>
            </w:pPr>
            <w:r w:rsidRPr="00AD1F33">
              <w:rPr>
                <w:rFonts w:ascii="Arial" w:hAnsi="Arial" w:cs="Arial"/>
                <w:b/>
                <w:bCs/>
                <w:color w:val="25282A"/>
                <w:szCs w:val="22"/>
              </w:rPr>
              <w:t>Mit Zuschlagserteilung</w:t>
            </w:r>
          </w:p>
        </w:tc>
        <w:tc>
          <w:tcPr>
            <w:tcW w:w="5099" w:type="dxa"/>
            <w:tcBorders>
              <w:top w:val="single" w:sz="4" w:space="0" w:color="000000"/>
              <w:left w:val="single" w:sz="4" w:space="0" w:color="000000"/>
              <w:bottom w:val="single" w:sz="4" w:space="0" w:color="000000"/>
              <w:right w:val="single" w:sz="4" w:space="0" w:color="000000"/>
            </w:tcBorders>
            <w:vAlign w:val="center"/>
          </w:tcPr>
          <w:p w14:paraId="6A0F379D" w14:textId="02FC824A" w:rsidR="001E1D4C" w:rsidRPr="00AD1F33" w:rsidRDefault="001E1D4C" w:rsidP="001E1D4C">
            <w:pPr>
              <w:spacing w:before="120" w:after="120"/>
              <w:rPr>
                <w:rFonts w:ascii="Arial" w:hAnsi="Arial" w:cs="Arial"/>
                <w:szCs w:val="22"/>
              </w:rPr>
            </w:pPr>
            <w:r w:rsidRPr="00AD1F33">
              <w:rPr>
                <w:rFonts w:ascii="Arial" w:hAnsi="Arial" w:cs="Arial"/>
                <w:color w:val="25282A"/>
                <w:szCs w:val="22"/>
              </w:rPr>
              <w:t>Leistungsbeginn</w:t>
            </w:r>
          </w:p>
        </w:tc>
      </w:tr>
    </w:tbl>
    <w:p w14:paraId="6A0F379F" w14:textId="4B3B2FB4" w:rsidR="0078761A" w:rsidRPr="00AD1F33" w:rsidRDefault="005F4EE4">
      <w:pPr>
        <w:pStyle w:val="berschrift2"/>
        <w:numPr>
          <w:ilvl w:val="1"/>
          <w:numId w:val="3"/>
        </w:numPr>
        <w:spacing w:before="240" w:after="240" w:line="360" w:lineRule="auto"/>
        <w:ind w:hanging="567"/>
        <w:rPr>
          <w:rFonts w:ascii="Arial" w:hAnsi="Arial" w:cs="Arial"/>
        </w:rPr>
      </w:pPr>
      <w:bookmarkStart w:id="35" w:name="_Toc214641436"/>
      <w:bookmarkStart w:id="36" w:name="_Toc230266755"/>
      <w:r w:rsidRPr="00AD1F33">
        <w:rPr>
          <w:rFonts w:ascii="Arial" w:hAnsi="Arial" w:cs="Arial"/>
        </w:rPr>
        <w:t>Angebot und Angebotsfrist</w:t>
      </w:r>
      <w:bookmarkEnd w:id="35"/>
      <w:bookmarkEnd w:id="36"/>
    </w:p>
    <w:p w14:paraId="6A0F37A0" w14:textId="77777777" w:rsidR="0078761A" w:rsidRPr="00AD1F33" w:rsidRDefault="005F4EE4">
      <w:pPr>
        <w:spacing w:before="120" w:after="120" w:line="360" w:lineRule="auto"/>
        <w:ind w:left="567"/>
        <w:rPr>
          <w:rFonts w:ascii="Arial" w:hAnsi="Arial" w:cs="Arial"/>
        </w:rPr>
      </w:pPr>
      <w:r w:rsidRPr="00AD1F33">
        <w:rPr>
          <w:rFonts w:ascii="Arial" w:hAnsi="Arial" w:cs="Arial"/>
        </w:rPr>
        <w:t xml:space="preserve">Die Bieter haben ihr Angebot in deutscher Sprache und unter Beifügung sämtlicher einzureichender Erklärungen und Unterlagen fristgerecht bis zum </w:t>
      </w:r>
    </w:p>
    <w:p w14:paraId="56B68E6C" w14:textId="5F14830D" w:rsidR="005A0B4C" w:rsidRPr="00AD1F33" w:rsidRDefault="005A0B4C" w:rsidP="005A0B4C">
      <w:pPr>
        <w:spacing w:before="240" w:after="240" w:line="360" w:lineRule="auto"/>
        <w:ind w:left="567"/>
        <w:jc w:val="center"/>
        <w:rPr>
          <w:rFonts w:ascii="Arial" w:hAnsi="Arial" w:cs="Arial"/>
          <w:b/>
          <w:bCs/>
        </w:rPr>
      </w:pPr>
      <w:r w:rsidRPr="00AD1F33">
        <w:rPr>
          <w:rFonts w:ascii="Arial" w:hAnsi="Arial" w:cs="Arial"/>
          <w:b/>
          <w:bCs/>
        </w:rPr>
        <w:t>Montag, den 2</w:t>
      </w:r>
      <w:r w:rsidR="001E1D4C" w:rsidRPr="00AD1F33">
        <w:rPr>
          <w:rFonts w:ascii="Arial" w:hAnsi="Arial" w:cs="Arial"/>
          <w:b/>
          <w:bCs/>
        </w:rPr>
        <w:t>9</w:t>
      </w:r>
      <w:r w:rsidRPr="00AD1F33">
        <w:rPr>
          <w:rFonts w:ascii="Arial" w:hAnsi="Arial" w:cs="Arial"/>
          <w:b/>
          <w:bCs/>
        </w:rPr>
        <w:t>. Juni 2026, 12:00 Uhr (eingehend, Ausschlussfrist!)</w:t>
      </w:r>
    </w:p>
    <w:p w14:paraId="6A0F37A2" w14:textId="77777777" w:rsidR="0078761A" w:rsidRPr="00AD1F33" w:rsidRDefault="005F4EE4" w:rsidP="00757C5E">
      <w:pPr>
        <w:spacing w:before="120" w:after="120" w:line="360" w:lineRule="auto"/>
        <w:ind w:left="567"/>
        <w:rPr>
          <w:rFonts w:ascii="Arial" w:hAnsi="Arial" w:cs="Arial"/>
        </w:rPr>
      </w:pPr>
      <w:r w:rsidRPr="00AD1F33">
        <w:rPr>
          <w:rFonts w:ascii="Arial" w:hAnsi="Arial" w:cs="Arial"/>
        </w:rPr>
        <w:t xml:space="preserve">ausschließlich über die Vergabeplattform </w:t>
      </w:r>
      <w:proofErr w:type="spellStart"/>
      <w:r w:rsidRPr="00AD1F33">
        <w:rPr>
          <w:rFonts w:ascii="Arial" w:hAnsi="Arial" w:cs="Arial"/>
          <w:b/>
          <w:u w:val="single"/>
        </w:rPr>
        <w:t>dtvp</w:t>
      </w:r>
      <w:proofErr w:type="spellEnd"/>
      <w:r w:rsidRPr="00AD1F33">
        <w:rPr>
          <w:rFonts w:ascii="Arial" w:hAnsi="Arial" w:cs="Arial"/>
          <w:b/>
          <w:u w:val="single"/>
        </w:rPr>
        <w:t xml:space="preserve"> </w:t>
      </w:r>
      <w:r w:rsidRPr="00AD1F33">
        <w:rPr>
          <w:rFonts w:ascii="Arial" w:hAnsi="Arial" w:cs="Arial"/>
        </w:rPr>
        <w:t xml:space="preserve">elektronisch in Textform zu übermitteln. Eine Abgabe des Angebots auf sonstigem Weg, z.B. per Post, Telefax oder E-Mail, ist </w:t>
      </w:r>
      <w:r w:rsidRPr="00AD1F33">
        <w:rPr>
          <w:rFonts w:ascii="Arial" w:hAnsi="Arial" w:cs="Arial"/>
        </w:rPr>
        <w:lastRenderedPageBreak/>
        <w:t xml:space="preserve">nicht zulässig. Die Angebote müssen nicht mit einer besonderen elektronischen Signatur versehen werden. </w:t>
      </w:r>
    </w:p>
    <w:p w14:paraId="6A0F37A3" w14:textId="77777777" w:rsidR="0078761A" w:rsidRPr="00AD1F33" w:rsidRDefault="005F4EE4">
      <w:pPr>
        <w:spacing w:before="120" w:after="120" w:line="360" w:lineRule="auto"/>
        <w:ind w:left="567"/>
        <w:rPr>
          <w:rFonts w:ascii="Arial" w:hAnsi="Arial" w:cs="Arial"/>
        </w:rPr>
      </w:pPr>
      <w:r w:rsidRPr="00AD1F33">
        <w:rPr>
          <w:rFonts w:ascii="Arial" w:hAnsi="Arial" w:cs="Arial"/>
          <w:b/>
          <w:bCs/>
        </w:rPr>
        <w:t xml:space="preserve">Hinweis: </w:t>
      </w:r>
      <w:r w:rsidRPr="00AD1F33">
        <w:rPr>
          <w:rFonts w:ascii="Arial" w:hAnsi="Arial" w:cs="Arial"/>
        </w:rPr>
        <w:t>Ist bei dem elektronisch übermittelten Angebot in Textform der Name der natürlichen Person, die die Erklärung abgibt, nicht angegeben, kann das Angebot ausgeschlossen werden.</w:t>
      </w:r>
    </w:p>
    <w:p w14:paraId="6A0F37A4" w14:textId="77777777" w:rsidR="0078761A" w:rsidRPr="00AD1F33" w:rsidRDefault="005F4EE4">
      <w:pPr>
        <w:spacing w:before="120" w:after="120" w:line="360" w:lineRule="auto"/>
        <w:ind w:left="567"/>
        <w:rPr>
          <w:rFonts w:ascii="Arial" w:hAnsi="Arial" w:cs="Arial"/>
        </w:rPr>
      </w:pPr>
      <w:r w:rsidRPr="00AD1F33">
        <w:rPr>
          <w:rFonts w:ascii="Arial" w:hAnsi="Arial" w:cs="Arial"/>
        </w:rPr>
        <w:t>Die Auftraggeberin weist darauf hin, dass verspätet eingetroffene Angebote nicht mehr berücksichtigt werden dürfen, sondern vom Verfahren auszuschließen sind. Hat der Bieter die Verspätung nicht zu vertreten, so ist er diesbezüglich beweispflichtig.</w:t>
      </w:r>
    </w:p>
    <w:p w14:paraId="6A0F37A5" w14:textId="77777777" w:rsidR="0078761A" w:rsidRPr="00AD1F33" w:rsidRDefault="005F4EE4">
      <w:pPr>
        <w:spacing w:before="120" w:after="120" w:line="360" w:lineRule="auto"/>
        <w:ind w:left="567"/>
        <w:rPr>
          <w:rFonts w:ascii="Arial" w:hAnsi="Arial" w:cs="Arial"/>
        </w:rPr>
      </w:pPr>
      <w:r w:rsidRPr="00AD1F33">
        <w:rPr>
          <w:rFonts w:ascii="Arial" w:hAnsi="Arial" w:cs="Arial"/>
        </w:rPr>
        <w:t xml:space="preserve">Die Übermittlung von Angeboten setzt die vorherige Registrierung und Aktivierung der Teilnahme am Vergabeverfahren auf der o.g. Vergabeplattform voraus. Nähere Informationen zur Registrierung und Übermittlung von Angeboten sind dem Leitfaden zur Registrierung zu entnehmen. </w:t>
      </w:r>
    </w:p>
    <w:p w14:paraId="6A0F37A6" w14:textId="77777777" w:rsidR="0078761A" w:rsidRPr="00AD1F33" w:rsidRDefault="005F4EE4">
      <w:pPr>
        <w:spacing w:before="120" w:after="120" w:line="360" w:lineRule="auto"/>
        <w:ind w:left="567"/>
        <w:rPr>
          <w:rFonts w:ascii="Arial" w:hAnsi="Arial" w:cs="Arial"/>
        </w:rPr>
      </w:pPr>
      <w:r w:rsidRPr="00AD1F33">
        <w:rPr>
          <w:rFonts w:ascii="Arial" w:hAnsi="Arial" w:cs="Arial"/>
        </w:rPr>
        <w:t xml:space="preserve">Änderungen und Berichtigungen des Angebots müssen als solche gekennzeichnet und innerhalb der </w:t>
      </w:r>
      <w:proofErr w:type="gramStart"/>
      <w:r w:rsidRPr="00AD1F33">
        <w:rPr>
          <w:rFonts w:ascii="Arial" w:hAnsi="Arial" w:cs="Arial"/>
        </w:rPr>
        <w:t>Angebotsfrist</w:t>
      </w:r>
      <w:proofErr w:type="gramEnd"/>
      <w:r w:rsidRPr="00AD1F33">
        <w:rPr>
          <w:rFonts w:ascii="Arial" w:hAnsi="Arial" w:cs="Arial"/>
        </w:rPr>
        <w:t xml:space="preserve"> in der für die Abgabe des Angebots vorgeschriebenen Form ebenfalls über die Vergabeplattform eingereicht werden.</w:t>
      </w:r>
    </w:p>
    <w:p w14:paraId="6A0F37A7" w14:textId="77777777" w:rsidR="0078761A" w:rsidRPr="00AD1F33" w:rsidRDefault="005F4EE4">
      <w:pPr>
        <w:spacing w:before="120" w:after="120" w:line="360" w:lineRule="auto"/>
        <w:ind w:left="567"/>
        <w:rPr>
          <w:rFonts w:ascii="Arial" w:hAnsi="Arial" w:cs="Arial"/>
        </w:rPr>
      </w:pPr>
      <w:r w:rsidRPr="00AD1F33">
        <w:rPr>
          <w:rFonts w:ascii="Arial" w:hAnsi="Arial" w:cs="Arial"/>
        </w:rPr>
        <w:t>Die Verwendung der von der Auftraggeberin vorgegebenen Formulare ist zwingend. Die bereitgestellten Formulare sind auszufüllen. Hierfür stehen größtenteils freigegebene Textfelder bzw. Zellen zur Verfügung. Änderungen an diesen Formularen sowie den weiteren Vergabeunterlagen sind im Übrigen unzulässig und können zum Ausschluss des Angebots führen. Sofern weitergehende Erklärungen, Unterlagen oder Nachweise mit dem Angebot übermittelt werden sollen, sind die Dateiformate WORD, EXCEL, JPG oder PDF zu verwenden. Die im vorgenannten Sinne ergänzend eingereichten Dateien sollen möglichst elektronisch durchsuchbar sein.</w:t>
      </w:r>
    </w:p>
    <w:p w14:paraId="6A0F37A8" w14:textId="77777777" w:rsidR="0078761A" w:rsidRPr="00AD1F33" w:rsidRDefault="005F4EE4">
      <w:pPr>
        <w:spacing w:before="120" w:after="120" w:line="360" w:lineRule="auto"/>
        <w:ind w:left="567"/>
        <w:rPr>
          <w:rFonts w:ascii="Arial" w:hAnsi="Arial" w:cs="Arial"/>
        </w:rPr>
      </w:pPr>
      <w:r w:rsidRPr="00AD1F33">
        <w:rPr>
          <w:rFonts w:ascii="Arial" w:hAnsi="Arial" w:cs="Arial"/>
        </w:rPr>
        <w:t>Etwaige Allgemeine Geschäftsbedingungen des Bieters sind bezüglich des hier ausgeschriebenen Auftrags ausgeschlossen und werden nicht Vertragsbestandteil.</w:t>
      </w:r>
    </w:p>
    <w:p w14:paraId="6A0F37A9"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37" w:name="_Toc214641437"/>
      <w:bookmarkStart w:id="38" w:name="_Toc230266756"/>
      <w:r w:rsidRPr="00AD1F33">
        <w:rPr>
          <w:rFonts w:ascii="Arial" w:hAnsi="Arial" w:cs="Arial"/>
        </w:rPr>
        <w:t>Änderung, Berichtigung oder Rücknahme von Angeboten</w:t>
      </w:r>
      <w:bookmarkEnd w:id="37"/>
      <w:bookmarkEnd w:id="38"/>
    </w:p>
    <w:p w14:paraId="6A0F37AA" w14:textId="77777777" w:rsidR="0078761A" w:rsidRPr="00AD1F33" w:rsidRDefault="005F4EE4">
      <w:pPr>
        <w:spacing w:before="120" w:after="120" w:line="360" w:lineRule="auto"/>
        <w:ind w:left="567"/>
        <w:rPr>
          <w:rFonts w:ascii="Arial" w:hAnsi="Arial" w:cs="Arial"/>
        </w:rPr>
      </w:pPr>
      <w:r w:rsidRPr="00AD1F33">
        <w:rPr>
          <w:rFonts w:ascii="Arial" w:hAnsi="Arial" w:cs="Arial"/>
        </w:rPr>
        <w:t xml:space="preserve">Änderungen oder Berichtigungen der Angebote sind bis zum Ablauf der Frist zur Abgabe des Angebotes zulässig. Sie sind als solche zweifelsfrei zu kennzeichnen. Angebote mit nicht zweifelsfreien Änderungen werden von der Bewertung ausgeschlossen. Angebote können bis zum Ablauf der Angebotsfrist zurückgezogen werden. </w:t>
      </w:r>
    </w:p>
    <w:p w14:paraId="6A0F37AB" w14:textId="77777777" w:rsidR="0078761A" w:rsidRPr="00AD1F33" w:rsidRDefault="005F4EE4">
      <w:pPr>
        <w:spacing w:before="120" w:after="120" w:line="360" w:lineRule="auto"/>
        <w:ind w:left="567"/>
        <w:rPr>
          <w:rFonts w:ascii="Arial" w:hAnsi="Arial" w:cs="Arial"/>
        </w:rPr>
      </w:pPr>
      <w:r w:rsidRPr="00AD1F33">
        <w:rPr>
          <w:rFonts w:ascii="Arial" w:hAnsi="Arial" w:cs="Arial"/>
        </w:rPr>
        <w:lastRenderedPageBreak/>
        <w:t>Nach Ablauf der Angebotsfrist bleibt der Bieter bis zum Ablauf der von der öffentlichen Auftraggeberin festgelegten Bindefrist an sein Angebot gebunden.</w:t>
      </w:r>
    </w:p>
    <w:p w14:paraId="6A0F37AC"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39" w:name="_Toc214641438"/>
      <w:bookmarkStart w:id="40" w:name="_Toc230266757"/>
      <w:r w:rsidRPr="00AD1F33">
        <w:rPr>
          <w:rFonts w:ascii="Arial" w:hAnsi="Arial" w:cs="Arial"/>
        </w:rPr>
        <w:t>Mehrere Hauptangebote</w:t>
      </w:r>
      <w:bookmarkEnd w:id="39"/>
      <w:bookmarkEnd w:id="40"/>
    </w:p>
    <w:p w14:paraId="6A0F37AD" w14:textId="77777777" w:rsidR="0078761A" w:rsidRPr="00AD1F33" w:rsidRDefault="005F4EE4">
      <w:pPr>
        <w:spacing w:before="120" w:after="120" w:line="360" w:lineRule="auto"/>
        <w:ind w:left="567"/>
        <w:rPr>
          <w:rFonts w:ascii="Arial" w:hAnsi="Arial" w:cs="Arial"/>
        </w:rPr>
      </w:pPr>
      <w:r w:rsidRPr="00AD1F33">
        <w:rPr>
          <w:rFonts w:ascii="Arial" w:hAnsi="Arial" w:cs="Arial"/>
        </w:rPr>
        <w:t xml:space="preserve">Die Abgabe mehrerer Hauptangebote ist </w:t>
      </w:r>
      <w:r w:rsidRPr="00AD1F33">
        <w:rPr>
          <w:rFonts w:ascii="Arial" w:hAnsi="Arial" w:cs="Arial"/>
          <w:b/>
          <w:bCs/>
          <w:u w:val="single"/>
        </w:rPr>
        <w:t>nicht</w:t>
      </w:r>
      <w:r w:rsidRPr="00AD1F33">
        <w:rPr>
          <w:rFonts w:ascii="Arial" w:hAnsi="Arial" w:cs="Arial"/>
        </w:rPr>
        <w:t xml:space="preserve"> zugelassen.</w:t>
      </w:r>
    </w:p>
    <w:p w14:paraId="6A0F37AE"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41" w:name="_Toc214641439"/>
      <w:bookmarkStart w:id="42" w:name="_Toc230266758"/>
      <w:r w:rsidRPr="00AD1F33">
        <w:rPr>
          <w:rFonts w:ascii="Arial" w:hAnsi="Arial" w:cs="Arial"/>
        </w:rPr>
        <w:t>Nebenangebote</w:t>
      </w:r>
      <w:bookmarkEnd w:id="41"/>
      <w:bookmarkEnd w:id="42"/>
      <w:r w:rsidRPr="00AD1F33">
        <w:rPr>
          <w:rFonts w:ascii="Arial" w:hAnsi="Arial" w:cs="Arial"/>
        </w:rPr>
        <w:t xml:space="preserve"> </w:t>
      </w:r>
    </w:p>
    <w:p w14:paraId="6A0F37AF" w14:textId="77777777" w:rsidR="0078761A" w:rsidRPr="00AD1F33" w:rsidRDefault="005F4EE4">
      <w:pPr>
        <w:spacing w:before="120" w:after="120" w:line="360" w:lineRule="auto"/>
        <w:ind w:left="567"/>
        <w:rPr>
          <w:rFonts w:ascii="Arial" w:hAnsi="Arial" w:cs="Arial"/>
        </w:rPr>
      </w:pPr>
      <w:r w:rsidRPr="00AD1F33">
        <w:rPr>
          <w:rFonts w:ascii="Arial" w:hAnsi="Arial" w:cs="Arial"/>
        </w:rPr>
        <w:t xml:space="preserve">Nebenangebote sind </w:t>
      </w:r>
      <w:r w:rsidRPr="00AD1F33">
        <w:rPr>
          <w:rFonts w:ascii="Arial" w:hAnsi="Arial" w:cs="Arial"/>
          <w:b/>
          <w:bCs/>
          <w:u w:val="single"/>
        </w:rPr>
        <w:t>nicht</w:t>
      </w:r>
      <w:r w:rsidRPr="00AD1F33">
        <w:rPr>
          <w:rFonts w:ascii="Arial" w:hAnsi="Arial" w:cs="Arial"/>
        </w:rPr>
        <w:t xml:space="preserve"> zugelassen.</w:t>
      </w:r>
    </w:p>
    <w:p w14:paraId="6A0F37B0" w14:textId="77777777" w:rsidR="0078761A" w:rsidRPr="00AD1F33" w:rsidRDefault="005F4EE4">
      <w:pPr>
        <w:pStyle w:val="berschrift1"/>
        <w:spacing w:before="240" w:after="240" w:line="360" w:lineRule="auto"/>
        <w:ind w:hanging="567"/>
        <w:rPr>
          <w:rFonts w:ascii="Arial" w:hAnsi="Arial" w:cs="Arial"/>
        </w:rPr>
      </w:pPr>
      <w:bookmarkStart w:id="43" w:name="_Ref43737339"/>
      <w:bookmarkStart w:id="44" w:name="_Toc214641440"/>
      <w:bookmarkStart w:id="45" w:name="_Toc230266759"/>
      <w:bookmarkEnd w:id="43"/>
      <w:r w:rsidRPr="00AD1F33">
        <w:rPr>
          <w:rFonts w:ascii="Arial" w:hAnsi="Arial" w:cs="Arial"/>
        </w:rPr>
        <w:t>Eignungskriterien</w:t>
      </w:r>
      <w:bookmarkEnd w:id="44"/>
      <w:bookmarkEnd w:id="45"/>
      <w:r w:rsidRPr="00AD1F33">
        <w:rPr>
          <w:rFonts w:ascii="Arial" w:hAnsi="Arial" w:cs="Arial"/>
        </w:rPr>
        <w:t xml:space="preserve"> </w:t>
      </w:r>
    </w:p>
    <w:p w14:paraId="5010A5EC" w14:textId="77777777" w:rsidR="00A61AC8" w:rsidRPr="00AD1F33" w:rsidRDefault="00A61AC8" w:rsidP="00A61AC8">
      <w:pPr>
        <w:spacing w:before="120" w:after="120" w:line="360" w:lineRule="auto"/>
        <w:ind w:left="567"/>
        <w:rPr>
          <w:rFonts w:ascii="Arial" w:hAnsi="Arial" w:cs="Arial"/>
        </w:rPr>
      </w:pPr>
      <w:r w:rsidRPr="00AD1F33">
        <w:rPr>
          <w:rFonts w:ascii="Arial" w:hAnsi="Arial" w:cs="Arial"/>
        </w:rPr>
        <w:t>Die nachfolgend genannten Eignungskriterien sind Mindestanforderungen. Die Eignungsprüfung erfolgt getrennt von der Angebotswertung; ein „Mehr" an Eignung findet in der Angebotswertung keine Berücksichtigung.</w:t>
      </w:r>
    </w:p>
    <w:p w14:paraId="6A0F37B2" w14:textId="44AE25C1" w:rsidR="0078761A" w:rsidRPr="00AD1F33" w:rsidRDefault="00A61AC8" w:rsidP="0080275F">
      <w:pPr>
        <w:spacing w:before="120" w:after="120" w:line="360" w:lineRule="auto"/>
        <w:ind w:left="567"/>
        <w:rPr>
          <w:rFonts w:ascii="Arial" w:hAnsi="Arial" w:cs="Arial"/>
        </w:rPr>
      </w:pPr>
      <w:r w:rsidRPr="00AD1F33">
        <w:rPr>
          <w:rFonts w:ascii="Arial" w:hAnsi="Arial" w:cs="Arial"/>
        </w:rPr>
        <w:t>Der Bieter reicht sämtliche nachfolgend geforderten Unterlagen – insbesondere Angaben, Erklärungen und sonstige Nachweise – mit seinem Angebot ein. Hierfür sind ausschließlich die mit den Vergabeunterlagen bereitgestellten Vordrucke zu verwenden. Bieter, die die als solche gekennzeichneten Mindestanforderungen nicht erfüllen, werden vom weiteren Vergabeverfahren ausgeschlossen. Die Auftraggeberin kann darüber hinaus weitergehende Nachweise anfordern, sofern Anhaltspunkte für eine fehlende Eignung bestehen.</w:t>
      </w:r>
    </w:p>
    <w:p w14:paraId="6A0F37B3" w14:textId="77777777" w:rsidR="0078761A" w:rsidRPr="00AD1F33" w:rsidRDefault="005F4EE4" w:rsidP="00E516CB">
      <w:pPr>
        <w:pStyle w:val="berschrift2"/>
        <w:numPr>
          <w:ilvl w:val="1"/>
          <w:numId w:val="3"/>
        </w:numPr>
        <w:spacing w:before="240" w:after="240" w:line="360" w:lineRule="auto"/>
        <w:ind w:hanging="567"/>
        <w:rPr>
          <w:rFonts w:ascii="Arial" w:hAnsi="Arial" w:cs="Arial"/>
        </w:rPr>
      </w:pPr>
      <w:bookmarkStart w:id="46" w:name="_Toc230266760"/>
      <w:r w:rsidRPr="00AD1F33">
        <w:rPr>
          <w:rFonts w:ascii="Arial" w:hAnsi="Arial" w:cs="Arial"/>
        </w:rPr>
        <w:t>Befähigung und Erlaubnis zur Berufsausübung / Ausschlussgründe</w:t>
      </w:r>
      <w:bookmarkEnd w:id="46"/>
    </w:p>
    <w:p w14:paraId="4E8564B9" w14:textId="3AF8D6C2" w:rsidR="00AA7384" w:rsidRPr="00AD1F33" w:rsidRDefault="00AA7384" w:rsidP="00AA7384">
      <w:pPr>
        <w:pStyle w:val="Listenabsatz"/>
        <w:numPr>
          <w:ilvl w:val="0"/>
          <w:numId w:val="7"/>
        </w:numPr>
        <w:spacing w:before="120" w:after="120" w:line="360" w:lineRule="auto"/>
        <w:ind w:left="1134" w:hanging="567"/>
        <w:contextualSpacing w:val="0"/>
        <w:rPr>
          <w:rFonts w:ascii="Arial" w:hAnsi="Arial" w:cs="Arial"/>
        </w:rPr>
      </w:pPr>
      <w:r w:rsidRPr="00AD1F33">
        <w:rPr>
          <w:rFonts w:ascii="Arial" w:hAnsi="Arial" w:cs="Arial"/>
          <w:b/>
        </w:rPr>
        <w:t>Handelsregisterauszug</w:t>
      </w:r>
      <w:r w:rsidRPr="00AD1F33">
        <w:rPr>
          <w:rFonts w:ascii="Arial" w:hAnsi="Arial" w:cs="Arial"/>
        </w:rPr>
        <w:t>: Der Bieter legt seinem Angebot einen aktuellen Auszug aus dem Berufs- oder Handelsregister bei, soweit eine Eintragung nach Maßgabe der jeweiligen Rechtsvorschriften erforderlich ist. Ausländische Bieter legen eine gleichwertige Bescheinigung der zuständigen Behörde ihres Herkunftslandes vor. Der Auszug darf zum Zeitpunkt der Angebotsabgabe nicht älter als sechs Monate sein.</w:t>
      </w:r>
    </w:p>
    <w:p w14:paraId="3DBA372F" w14:textId="49B1E7F5" w:rsidR="00AA7384" w:rsidRPr="00AD1F33" w:rsidRDefault="00AA7384" w:rsidP="00AA7384">
      <w:pPr>
        <w:pStyle w:val="Listenabsatz"/>
        <w:numPr>
          <w:ilvl w:val="0"/>
          <w:numId w:val="7"/>
        </w:numPr>
        <w:spacing w:before="120" w:after="120" w:line="360" w:lineRule="auto"/>
        <w:ind w:left="1134" w:hanging="567"/>
        <w:contextualSpacing w:val="0"/>
        <w:rPr>
          <w:rFonts w:ascii="Arial" w:hAnsi="Arial" w:cs="Arial"/>
        </w:rPr>
      </w:pPr>
      <w:r w:rsidRPr="00AD1F33">
        <w:rPr>
          <w:rFonts w:ascii="Arial" w:hAnsi="Arial" w:cs="Arial"/>
          <w:b/>
        </w:rPr>
        <w:t>Eigenerklärung zu Ausschlussgründen (§§ 123, 124 GWB)</w:t>
      </w:r>
      <w:r w:rsidRPr="00AD1F33">
        <w:rPr>
          <w:rFonts w:ascii="Arial" w:hAnsi="Arial" w:cs="Arial"/>
        </w:rPr>
        <w:t>: Der Bieter erklärt, dass keiner der in §§ 123 und 124 GWB genannten zwingenden oder fakultativen Ausschlussgründe auf ihn zutrifft. Sofern ein Ausschlussgrund vorliegt, ist dieser im Formblatt 2.4 vollständig und detailliert anzugeben.</w:t>
      </w:r>
    </w:p>
    <w:p w14:paraId="2BE3E635" w14:textId="491C709A" w:rsidR="00AA7384" w:rsidRPr="00AD1F33" w:rsidRDefault="00AA7384" w:rsidP="00AA7384">
      <w:pPr>
        <w:pStyle w:val="Listenabsatz"/>
        <w:numPr>
          <w:ilvl w:val="0"/>
          <w:numId w:val="7"/>
        </w:numPr>
        <w:spacing w:before="120" w:after="120" w:line="360" w:lineRule="auto"/>
        <w:ind w:left="1134" w:hanging="567"/>
        <w:contextualSpacing w:val="0"/>
        <w:rPr>
          <w:rFonts w:ascii="Arial" w:hAnsi="Arial" w:cs="Arial"/>
        </w:rPr>
      </w:pPr>
      <w:r w:rsidRPr="00AD1F33">
        <w:rPr>
          <w:rFonts w:ascii="Arial" w:hAnsi="Arial" w:cs="Arial"/>
          <w:b/>
        </w:rPr>
        <w:lastRenderedPageBreak/>
        <w:t xml:space="preserve">Eigenerklärung zu MiLoG / </w:t>
      </w:r>
      <w:proofErr w:type="spellStart"/>
      <w:r w:rsidRPr="00AD1F33">
        <w:rPr>
          <w:rFonts w:ascii="Arial" w:hAnsi="Arial" w:cs="Arial"/>
          <w:b/>
        </w:rPr>
        <w:t>SchwarzArbG</w:t>
      </w:r>
      <w:proofErr w:type="spellEnd"/>
      <w:r w:rsidRPr="00AD1F33">
        <w:rPr>
          <w:rFonts w:ascii="Arial" w:hAnsi="Arial" w:cs="Arial"/>
          <w:b/>
        </w:rPr>
        <w:t xml:space="preserve"> / AEntG:</w:t>
      </w:r>
      <w:r w:rsidRPr="00AD1F33">
        <w:rPr>
          <w:rFonts w:ascii="Arial" w:hAnsi="Arial" w:cs="Arial"/>
        </w:rPr>
        <w:t xml:space="preserve"> Der Bieter erklärt, dass weder er noch eine für ihn gesetzlich oder satzungsgemäß vertretungsberechtigte Person in den letzten zwei Jahren mit einer Freiheitsstrafe von mehr als drei Monaten, einer Geldstrafe von mehr als 90 Tagessätzen oder einer Geldbuße von mehr als 2.500 Euro belegt worden ist (§ 19 Abs. 1 MiLoG, § 21 Abs. 1 </w:t>
      </w:r>
      <w:proofErr w:type="spellStart"/>
      <w:r w:rsidRPr="00AD1F33">
        <w:rPr>
          <w:rFonts w:ascii="Arial" w:hAnsi="Arial" w:cs="Arial"/>
        </w:rPr>
        <w:t>SchwarzArbG</w:t>
      </w:r>
      <w:proofErr w:type="spellEnd"/>
      <w:r w:rsidRPr="00AD1F33">
        <w:rPr>
          <w:rFonts w:ascii="Arial" w:hAnsi="Arial" w:cs="Arial"/>
        </w:rPr>
        <w:t>, § 21 Abs. 1 AEntG).</w:t>
      </w:r>
    </w:p>
    <w:p w14:paraId="61035AD1" w14:textId="6318B28A" w:rsidR="00AA7384" w:rsidRPr="00AD1F33" w:rsidRDefault="00AA7384" w:rsidP="00AA7384">
      <w:pPr>
        <w:pStyle w:val="Listenabsatz"/>
        <w:numPr>
          <w:ilvl w:val="0"/>
          <w:numId w:val="7"/>
        </w:numPr>
        <w:spacing w:before="120" w:after="120" w:line="360" w:lineRule="auto"/>
        <w:ind w:left="1134" w:hanging="567"/>
        <w:contextualSpacing w:val="0"/>
        <w:rPr>
          <w:rFonts w:ascii="Arial" w:hAnsi="Arial" w:cs="Arial"/>
        </w:rPr>
      </w:pPr>
      <w:r w:rsidRPr="00AD1F33">
        <w:rPr>
          <w:rFonts w:ascii="Arial" w:hAnsi="Arial" w:cs="Arial"/>
          <w:b/>
        </w:rPr>
        <w:t>Tariftreue und Entgeltgleichheit:</w:t>
      </w:r>
      <w:r w:rsidRPr="00AD1F33">
        <w:rPr>
          <w:rFonts w:ascii="Arial" w:hAnsi="Arial" w:cs="Arial"/>
        </w:rPr>
        <w:t xml:space="preserve"> Der Bieter hat durch Eigenerklärung die Einhaltung der Vorgaben des Sächsischen Vergabegesetzes (SächsVgG) hinsichtlich Tariftreue und Entgeltgleichheit zu bestätigen (Formblatt 2.4).</w:t>
      </w:r>
    </w:p>
    <w:p w14:paraId="1C099DE8" w14:textId="40222C5B" w:rsidR="00AA7384" w:rsidRPr="00AD1F33" w:rsidRDefault="00AA7384" w:rsidP="007506D6">
      <w:pPr>
        <w:pStyle w:val="Listenabsatz"/>
        <w:numPr>
          <w:ilvl w:val="0"/>
          <w:numId w:val="7"/>
        </w:numPr>
        <w:spacing w:before="120" w:after="120" w:line="360" w:lineRule="auto"/>
        <w:ind w:left="1134" w:hanging="567"/>
        <w:contextualSpacing w:val="0"/>
        <w:rPr>
          <w:rFonts w:ascii="Arial" w:hAnsi="Arial" w:cs="Arial"/>
        </w:rPr>
      </w:pPr>
      <w:r w:rsidRPr="00AD1F33">
        <w:rPr>
          <w:rFonts w:ascii="Arial" w:hAnsi="Arial" w:cs="Arial"/>
          <w:b/>
        </w:rPr>
        <w:t>Russlandsanktionen:</w:t>
      </w:r>
      <w:r w:rsidRPr="00AD1F33">
        <w:rPr>
          <w:rFonts w:ascii="Arial" w:hAnsi="Arial" w:cs="Arial"/>
        </w:rPr>
        <w:t xml:space="preserve"> Der Bieter hat durch Eigenerklärung die Einhaltung der EU-Sanktionsregelungen gegenüber Russland gemäß den einschlägigen EU-Verordnungen zu bestätigen (Formblatt 2.9).</w:t>
      </w:r>
    </w:p>
    <w:p w14:paraId="6A0F37B8" w14:textId="571F9124" w:rsidR="0078761A" w:rsidRPr="00AD1F33" w:rsidRDefault="005F4EE4" w:rsidP="007506D6">
      <w:pPr>
        <w:pStyle w:val="berschrift2"/>
        <w:numPr>
          <w:ilvl w:val="1"/>
          <w:numId w:val="3"/>
        </w:numPr>
        <w:spacing w:before="240" w:after="240" w:line="360" w:lineRule="auto"/>
        <w:ind w:hanging="567"/>
        <w:rPr>
          <w:rFonts w:ascii="Arial" w:hAnsi="Arial" w:cs="Arial"/>
        </w:rPr>
      </w:pPr>
      <w:bookmarkStart w:id="47" w:name="_Toc230266761"/>
      <w:r w:rsidRPr="00AD1F33">
        <w:rPr>
          <w:rFonts w:ascii="Arial" w:hAnsi="Arial" w:cs="Arial"/>
        </w:rPr>
        <w:t>Nachweis der wirtschaftlichen und finanziellen Leistungsfähigkeit</w:t>
      </w:r>
      <w:bookmarkEnd w:id="47"/>
    </w:p>
    <w:p w14:paraId="2ACE0371" w14:textId="25C4D1EE" w:rsidR="008E16FD" w:rsidRPr="00AD1F33" w:rsidRDefault="00DA1E00" w:rsidP="00C71E45">
      <w:pPr>
        <w:pStyle w:val="Listenabsatz"/>
        <w:numPr>
          <w:ilvl w:val="0"/>
          <w:numId w:val="7"/>
        </w:numPr>
        <w:spacing w:before="120" w:after="120" w:line="360" w:lineRule="auto"/>
        <w:ind w:left="1134" w:hanging="567"/>
        <w:contextualSpacing w:val="0"/>
        <w:rPr>
          <w:rFonts w:ascii="Arial" w:hAnsi="Arial" w:cs="Arial"/>
        </w:rPr>
      </w:pPr>
      <w:r w:rsidRPr="00AD1F33">
        <w:rPr>
          <w:rFonts w:ascii="Arial" w:hAnsi="Arial" w:cs="Arial"/>
          <w:b/>
        </w:rPr>
        <w:t xml:space="preserve">Umsatzerklärung: </w:t>
      </w:r>
      <w:r w:rsidR="00691717" w:rsidRPr="00AD1F33">
        <w:rPr>
          <w:rFonts w:ascii="Arial" w:hAnsi="Arial" w:cs="Arial"/>
        </w:rPr>
        <w:t xml:space="preserve">Der Bieter gibt seinen Gesamtjahresumsatz (netto) sowie seinen Jahresumsatz aus vergleichbaren Aufträgen für die letzten drei abgeschlossenen Geschäftsjahre an. </w:t>
      </w:r>
    </w:p>
    <w:p w14:paraId="4A2DCD98" w14:textId="77777777" w:rsidR="00681F32" w:rsidRPr="00AD1F33" w:rsidRDefault="00681F32" w:rsidP="00681F32">
      <w:pPr>
        <w:pStyle w:val="Listenabsatz"/>
        <w:spacing w:before="120" w:after="120" w:line="360" w:lineRule="auto"/>
        <w:ind w:left="1134"/>
        <w:contextualSpacing w:val="0"/>
        <w:rPr>
          <w:rFonts w:ascii="Arial" w:hAnsi="Arial" w:cs="Arial"/>
        </w:rPr>
      </w:pPr>
      <w:r w:rsidRPr="00AD1F33">
        <w:rPr>
          <w:rFonts w:ascii="Arial" w:hAnsi="Arial" w:cs="Arial"/>
        </w:rPr>
        <w:t>Als vergleichbar gelten Aufträge, die Objektplanungsleistungen für Ingenieurbauwerke im Sinne der §§ 41 ff. HOAI zum Gegenstand haben, insbesondere die Planung von Ver- oder Entsorgungsleitungen, Rohrleitungen oder vergleichbarer linearer Infrastruktur im öffentlichen oder industriellen Bereich (z.B. Fernwärme-, Trinkwasser-, Gas- oder Abwasserleitungen).</w:t>
      </w:r>
    </w:p>
    <w:p w14:paraId="7B88BE32" w14:textId="5A352E11" w:rsidR="00C71E45" w:rsidRPr="00AD1F33" w:rsidRDefault="00681F32" w:rsidP="00681F32">
      <w:pPr>
        <w:pStyle w:val="Listenabsatz"/>
        <w:spacing w:before="120" w:after="120" w:line="360" w:lineRule="auto"/>
        <w:ind w:left="1134"/>
        <w:contextualSpacing w:val="0"/>
        <w:rPr>
          <w:rFonts w:ascii="Arial" w:hAnsi="Arial" w:cs="Arial"/>
        </w:rPr>
      </w:pPr>
      <w:r w:rsidRPr="00AD1F33">
        <w:rPr>
          <w:rFonts w:ascii="Arial" w:hAnsi="Arial" w:cs="Arial"/>
        </w:rPr>
        <w:t>Die Angaben sind im Formblatt 2.4 zu machen. Die Auftraggeberin behält sich vor, geeignete Belege (z.B. Jahresabschlüsse oder Umsatzbescheinigungen eines Wirtschaftsprüfers oder Steuerberaters) anzufordern.</w:t>
      </w:r>
    </w:p>
    <w:p w14:paraId="59E4F548" w14:textId="525111FF" w:rsidR="003B3E40" w:rsidRPr="00AD1F33" w:rsidRDefault="006A062B" w:rsidP="00C65896">
      <w:pPr>
        <w:pStyle w:val="Listenabsatz"/>
        <w:numPr>
          <w:ilvl w:val="0"/>
          <w:numId w:val="7"/>
        </w:numPr>
        <w:spacing w:before="120" w:after="120" w:line="360" w:lineRule="auto"/>
        <w:ind w:left="1134" w:hanging="567"/>
        <w:contextualSpacing w:val="0"/>
        <w:rPr>
          <w:rFonts w:ascii="Arial" w:hAnsi="Arial" w:cs="Arial"/>
        </w:rPr>
      </w:pPr>
      <w:r w:rsidRPr="00AD1F33">
        <w:rPr>
          <w:rFonts w:ascii="Arial" w:hAnsi="Arial" w:cs="Arial"/>
          <w:b/>
        </w:rPr>
        <w:t xml:space="preserve">Betriebshaftpflichtversicherung: </w:t>
      </w:r>
      <w:r w:rsidR="008C0DF6" w:rsidRPr="00AD1F33">
        <w:rPr>
          <w:rFonts w:ascii="Arial" w:hAnsi="Arial" w:cs="Arial"/>
        </w:rPr>
        <w:t>Der Bieter hat mit dem Angebot durch Eigenerklärung zu bestätigen, dass er über eine ausreichende Berufshaftpflichtversicherung verfügt oder diese im Auftragsfall unverzüglich abschließen wird. Die Versicherung muss für die gesamte Dauer der Leistungserbringung bestehen und folgende Mindestdeckungssummen aufweisen:</w:t>
      </w:r>
    </w:p>
    <w:tbl>
      <w:tblPr>
        <w:tblW w:w="0" w:type="auto"/>
        <w:tblCellSpacing w:w="15" w:type="dxa"/>
        <w:tblInd w:w="1134" w:type="dxa"/>
        <w:tblCellMar>
          <w:top w:w="15" w:type="dxa"/>
          <w:left w:w="15" w:type="dxa"/>
          <w:bottom w:w="15" w:type="dxa"/>
          <w:right w:w="15" w:type="dxa"/>
        </w:tblCellMar>
        <w:tblLook w:val="04A0" w:firstRow="1" w:lastRow="0" w:firstColumn="1" w:lastColumn="0" w:noHBand="0" w:noVBand="1"/>
      </w:tblPr>
      <w:tblGrid>
        <w:gridCol w:w="4962"/>
        <w:gridCol w:w="2977"/>
      </w:tblGrid>
      <w:tr w:rsidR="00C510A6" w:rsidRPr="00AD1F33" w14:paraId="388080AD" w14:textId="77777777" w:rsidTr="00C510A6">
        <w:trPr>
          <w:trHeight w:val="600"/>
          <w:tblHeader/>
          <w:tblCellSpacing w:w="15" w:type="dxa"/>
        </w:trPr>
        <w:tc>
          <w:tcPr>
            <w:tcW w:w="4917" w:type="dxa"/>
            <w:vAlign w:val="center"/>
            <w:hideMark/>
          </w:tcPr>
          <w:p w14:paraId="7D839500" w14:textId="77777777" w:rsidR="00C510A6" w:rsidRPr="00AD1F33" w:rsidRDefault="00C510A6" w:rsidP="00760192">
            <w:pPr>
              <w:spacing w:after="0" w:line="360" w:lineRule="auto"/>
              <w:rPr>
                <w:rFonts w:ascii="Arial" w:hAnsi="Arial" w:cs="Arial"/>
                <w:b/>
                <w:bCs/>
                <w:color w:val="25282A"/>
              </w:rPr>
            </w:pPr>
            <w:r w:rsidRPr="00AD1F33">
              <w:rPr>
                <w:rFonts w:ascii="Arial" w:hAnsi="Arial" w:cs="Arial"/>
                <w:b/>
                <w:bCs/>
                <w:color w:val="25282A"/>
              </w:rPr>
              <w:lastRenderedPageBreak/>
              <w:t>Schadensart</w:t>
            </w:r>
          </w:p>
        </w:tc>
        <w:tc>
          <w:tcPr>
            <w:tcW w:w="2932" w:type="dxa"/>
            <w:vAlign w:val="center"/>
            <w:hideMark/>
          </w:tcPr>
          <w:p w14:paraId="3BF81D15" w14:textId="77777777" w:rsidR="00C510A6" w:rsidRPr="00AD1F33" w:rsidRDefault="00C510A6" w:rsidP="00760192">
            <w:pPr>
              <w:spacing w:after="0" w:line="360" w:lineRule="auto"/>
              <w:rPr>
                <w:rFonts w:ascii="Arial" w:hAnsi="Arial" w:cs="Arial"/>
                <w:b/>
                <w:bCs/>
                <w:color w:val="25282A"/>
              </w:rPr>
            </w:pPr>
            <w:r w:rsidRPr="00AD1F33">
              <w:rPr>
                <w:rFonts w:ascii="Arial" w:hAnsi="Arial" w:cs="Arial"/>
                <w:b/>
                <w:bCs/>
                <w:color w:val="25282A"/>
              </w:rPr>
              <w:t>Mindestdeckungssumme je Schadensfall</w:t>
            </w:r>
          </w:p>
        </w:tc>
      </w:tr>
      <w:tr w:rsidR="00C510A6" w:rsidRPr="00AD1F33" w14:paraId="1F3510DC" w14:textId="77777777" w:rsidTr="00C510A6">
        <w:trPr>
          <w:tblCellSpacing w:w="15" w:type="dxa"/>
        </w:trPr>
        <w:tc>
          <w:tcPr>
            <w:tcW w:w="4917" w:type="dxa"/>
            <w:vAlign w:val="center"/>
            <w:hideMark/>
          </w:tcPr>
          <w:p w14:paraId="34D542B7" w14:textId="77777777" w:rsidR="00C510A6" w:rsidRPr="00AD1F33" w:rsidRDefault="00C510A6" w:rsidP="001E0BE6">
            <w:pPr>
              <w:spacing w:after="0" w:line="360" w:lineRule="auto"/>
              <w:jc w:val="left"/>
              <w:rPr>
                <w:rFonts w:ascii="Arial" w:hAnsi="Arial" w:cs="Arial"/>
                <w:color w:val="25282A"/>
              </w:rPr>
            </w:pPr>
            <w:r w:rsidRPr="00AD1F33">
              <w:rPr>
                <w:rFonts w:ascii="Arial" w:hAnsi="Arial" w:cs="Arial"/>
                <w:color w:val="25282A"/>
              </w:rPr>
              <w:t>Personenschäden</w:t>
            </w:r>
          </w:p>
        </w:tc>
        <w:tc>
          <w:tcPr>
            <w:tcW w:w="2932" w:type="dxa"/>
            <w:vAlign w:val="center"/>
            <w:hideMark/>
          </w:tcPr>
          <w:p w14:paraId="746D4676" w14:textId="30F47A31" w:rsidR="00C510A6" w:rsidRPr="00AD1F33" w:rsidRDefault="00C13C4E" w:rsidP="00760192">
            <w:pPr>
              <w:spacing w:after="0" w:line="360" w:lineRule="auto"/>
              <w:rPr>
                <w:rFonts w:ascii="Arial" w:hAnsi="Arial" w:cs="Arial"/>
                <w:color w:val="25282A"/>
              </w:rPr>
            </w:pPr>
            <w:r w:rsidRPr="00AD1F33">
              <w:rPr>
                <w:rFonts w:ascii="Arial" w:hAnsi="Arial" w:cs="Arial"/>
                <w:color w:val="25282A"/>
              </w:rPr>
              <w:t>3</w:t>
            </w:r>
            <w:r w:rsidR="00C510A6" w:rsidRPr="00AD1F33">
              <w:rPr>
                <w:rFonts w:ascii="Arial" w:hAnsi="Arial" w:cs="Arial"/>
                <w:color w:val="25282A"/>
              </w:rPr>
              <w:t>.000.000 Euro</w:t>
            </w:r>
          </w:p>
        </w:tc>
      </w:tr>
      <w:tr w:rsidR="00C510A6" w:rsidRPr="00AD1F33" w14:paraId="252BCBE7" w14:textId="77777777" w:rsidTr="00C510A6">
        <w:trPr>
          <w:tblCellSpacing w:w="15" w:type="dxa"/>
        </w:trPr>
        <w:tc>
          <w:tcPr>
            <w:tcW w:w="4917" w:type="dxa"/>
            <w:vAlign w:val="center"/>
            <w:hideMark/>
          </w:tcPr>
          <w:p w14:paraId="51D4824A" w14:textId="77777777" w:rsidR="00C510A6" w:rsidRPr="00AD1F33" w:rsidRDefault="00C510A6" w:rsidP="001E0BE6">
            <w:pPr>
              <w:spacing w:after="0" w:line="360" w:lineRule="auto"/>
              <w:jc w:val="left"/>
              <w:rPr>
                <w:rFonts w:ascii="Arial" w:hAnsi="Arial" w:cs="Arial"/>
                <w:color w:val="25282A"/>
              </w:rPr>
            </w:pPr>
            <w:r w:rsidRPr="00AD1F33">
              <w:rPr>
                <w:rFonts w:ascii="Arial" w:hAnsi="Arial" w:cs="Arial"/>
                <w:color w:val="25282A"/>
              </w:rPr>
              <w:t>Sachschäden</w:t>
            </w:r>
          </w:p>
        </w:tc>
        <w:tc>
          <w:tcPr>
            <w:tcW w:w="2932" w:type="dxa"/>
            <w:vAlign w:val="center"/>
            <w:hideMark/>
          </w:tcPr>
          <w:p w14:paraId="60973DD4" w14:textId="2E0075EE" w:rsidR="00C510A6" w:rsidRPr="00AD1F33" w:rsidRDefault="00C13C4E" w:rsidP="00760192">
            <w:pPr>
              <w:spacing w:after="0" w:line="360" w:lineRule="auto"/>
              <w:rPr>
                <w:rFonts w:ascii="Arial" w:hAnsi="Arial" w:cs="Arial"/>
                <w:color w:val="25282A"/>
              </w:rPr>
            </w:pPr>
            <w:r w:rsidRPr="00AD1F33">
              <w:rPr>
                <w:rFonts w:ascii="Arial" w:hAnsi="Arial" w:cs="Arial"/>
                <w:color w:val="25282A"/>
              </w:rPr>
              <w:t>3</w:t>
            </w:r>
            <w:r w:rsidR="00C510A6" w:rsidRPr="00AD1F33">
              <w:rPr>
                <w:rFonts w:ascii="Arial" w:hAnsi="Arial" w:cs="Arial"/>
                <w:color w:val="25282A"/>
              </w:rPr>
              <w:t>.000.000 Euro</w:t>
            </w:r>
          </w:p>
        </w:tc>
      </w:tr>
      <w:tr w:rsidR="00C510A6" w:rsidRPr="00AD1F33" w14:paraId="3BE8C1AB" w14:textId="77777777" w:rsidTr="00C510A6">
        <w:trPr>
          <w:tblCellSpacing w:w="15" w:type="dxa"/>
        </w:trPr>
        <w:tc>
          <w:tcPr>
            <w:tcW w:w="4917" w:type="dxa"/>
            <w:vAlign w:val="center"/>
            <w:hideMark/>
          </w:tcPr>
          <w:p w14:paraId="33E48B63" w14:textId="77777777" w:rsidR="00C510A6" w:rsidRPr="00AD1F33" w:rsidRDefault="00C510A6" w:rsidP="001E0BE6">
            <w:pPr>
              <w:spacing w:after="0" w:line="360" w:lineRule="auto"/>
              <w:jc w:val="left"/>
              <w:rPr>
                <w:rFonts w:ascii="Arial" w:hAnsi="Arial" w:cs="Arial"/>
                <w:color w:val="25282A"/>
              </w:rPr>
            </w:pPr>
            <w:r w:rsidRPr="00AD1F33">
              <w:rPr>
                <w:rFonts w:ascii="Arial" w:hAnsi="Arial" w:cs="Arial"/>
                <w:color w:val="25282A"/>
              </w:rPr>
              <w:t>Vermögensschäden</w:t>
            </w:r>
          </w:p>
        </w:tc>
        <w:tc>
          <w:tcPr>
            <w:tcW w:w="2932" w:type="dxa"/>
            <w:vAlign w:val="center"/>
            <w:hideMark/>
          </w:tcPr>
          <w:p w14:paraId="61C41F11" w14:textId="0B28BB74" w:rsidR="00C510A6" w:rsidRPr="00AD1F33" w:rsidRDefault="00D14B8D" w:rsidP="00760192">
            <w:pPr>
              <w:spacing w:after="0" w:line="360" w:lineRule="auto"/>
              <w:rPr>
                <w:rFonts w:ascii="Arial" w:hAnsi="Arial" w:cs="Arial"/>
                <w:color w:val="25282A"/>
              </w:rPr>
            </w:pPr>
            <w:r w:rsidRPr="00AD1F33">
              <w:rPr>
                <w:rFonts w:ascii="Arial" w:hAnsi="Arial" w:cs="Arial"/>
                <w:color w:val="25282A"/>
              </w:rPr>
              <w:t>1</w:t>
            </w:r>
            <w:r w:rsidR="00C510A6" w:rsidRPr="00AD1F33">
              <w:rPr>
                <w:rFonts w:ascii="Arial" w:hAnsi="Arial" w:cs="Arial"/>
                <w:color w:val="25282A"/>
              </w:rPr>
              <w:t>.000.000 Euro</w:t>
            </w:r>
          </w:p>
        </w:tc>
      </w:tr>
    </w:tbl>
    <w:p w14:paraId="765DDD2F" w14:textId="77777777" w:rsidR="003B3E40" w:rsidRPr="00AD1F33" w:rsidRDefault="003B3E40" w:rsidP="00C65896">
      <w:pPr>
        <w:pStyle w:val="Listenabsatz"/>
        <w:spacing w:before="120" w:after="120" w:line="360" w:lineRule="auto"/>
        <w:ind w:left="1134"/>
        <w:contextualSpacing w:val="0"/>
        <w:rPr>
          <w:rFonts w:ascii="Arial" w:hAnsi="Arial" w:cs="Arial"/>
        </w:rPr>
      </w:pPr>
      <w:r w:rsidRPr="00AD1F33">
        <w:rPr>
          <w:rFonts w:ascii="Arial" w:hAnsi="Arial" w:cs="Arial"/>
        </w:rPr>
        <w:t>Sämtliche Deckungssummen unterliegen einer mindestens zweifachen Jahresmaximierung.</w:t>
      </w:r>
    </w:p>
    <w:p w14:paraId="53F8FA90" w14:textId="6D47295B" w:rsidR="00DA1E00" w:rsidRPr="00AD1F33" w:rsidRDefault="00591955" w:rsidP="00591955">
      <w:pPr>
        <w:pStyle w:val="Listenabsatz"/>
        <w:spacing w:before="120" w:after="120" w:line="360" w:lineRule="auto"/>
        <w:ind w:left="1134"/>
        <w:rPr>
          <w:rFonts w:ascii="Arial" w:hAnsi="Arial" w:cs="Arial"/>
        </w:rPr>
      </w:pPr>
      <w:r w:rsidRPr="00AD1F33">
        <w:rPr>
          <w:rFonts w:ascii="Arial" w:hAnsi="Arial" w:cs="Arial"/>
        </w:rPr>
        <w:t>Besteht zum Zeitpunkt der Angebotsabgabe bereits eine entsprechende Versicherung, ist dem Angebot ein gültiger Versicherungsnachweis beizufügen. Besteht eine entsprechende Versicherung zum Zeitpunkt der Angebotsabgabe noch nicht, hat der Bieter auf gesondertes Verlangen der Auftraggeberin und noch vor Zuschlagserteilung einen verbindlichen Nachweis über den Abschluss einer vertragsgemäßen Versicherung vorzulegen. Die Vorlage des Versicherungsnachweises ist Voraussetzung für die Zuschlagserteilung. Ein Zuschlag wird nicht erteilt, solange der geforderte Nachweis nicht vorliegt.</w:t>
      </w:r>
    </w:p>
    <w:p w14:paraId="6A0F37BC" w14:textId="77777777" w:rsidR="0078761A" w:rsidRPr="00AD1F33" w:rsidRDefault="005F4EE4" w:rsidP="008B3E11">
      <w:pPr>
        <w:pStyle w:val="berschrift2"/>
        <w:numPr>
          <w:ilvl w:val="1"/>
          <w:numId w:val="3"/>
        </w:numPr>
        <w:spacing w:before="240" w:after="240" w:line="360" w:lineRule="auto"/>
        <w:ind w:hanging="567"/>
        <w:rPr>
          <w:rFonts w:ascii="Arial" w:hAnsi="Arial" w:cs="Arial"/>
          <w:b w:val="0"/>
        </w:rPr>
      </w:pPr>
      <w:bookmarkStart w:id="48" w:name="_Toc230266762"/>
      <w:r w:rsidRPr="00AD1F33">
        <w:rPr>
          <w:rFonts w:ascii="Arial" w:hAnsi="Arial" w:cs="Arial"/>
        </w:rPr>
        <w:t>Nachweis der technischen und beruflichen Leistungsfähigkeit</w:t>
      </w:r>
      <w:bookmarkEnd w:id="48"/>
    </w:p>
    <w:p w14:paraId="725A0A41" w14:textId="2A6E74E4" w:rsidR="00DF6F61" w:rsidRPr="00AD1F33" w:rsidRDefault="00DF6F61" w:rsidP="00AD1F33">
      <w:pPr>
        <w:pStyle w:val="Listenabsatz"/>
        <w:numPr>
          <w:ilvl w:val="0"/>
          <w:numId w:val="7"/>
        </w:numPr>
        <w:spacing w:before="120" w:after="120" w:line="360" w:lineRule="auto"/>
        <w:ind w:left="1134" w:hanging="567"/>
        <w:contextualSpacing w:val="0"/>
        <w:rPr>
          <w:rFonts w:ascii="Arial" w:hAnsi="Arial" w:cs="Arial"/>
          <w:b/>
        </w:rPr>
      </w:pPr>
      <w:r w:rsidRPr="00AD1F33">
        <w:rPr>
          <w:rFonts w:ascii="Arial" w:hAnsi="Arial" w:cs="Arial"/>
          <w:b/>
        </w:rPr>
        <w:t>Referenzen</w:t>
      </w:r>
      <w:r w:rsidR="00537376" w:rsidRPr="00AD1F33">
        <w:rPr>
          <w:rFonts w:ascii="Arial" w:hAnsi="Arial" w:cs="Arial"/>
          <w:b/>
        </w:rPr>
        <w:t xml:space="preserve">: </w:t>
      </w:r>
      <w:r w:rsidR="00591955" w:rsidRPr="00AD1F33">
        <w:rPr>
          <w:rFonts w:ascii="Arial" w:hAnsi="Arial" w:cs="Arial"/>
        </w:rPr>
        <w:t xml:space="preserve">Der Bieter weist seine technische und berufliche Leistungsfähigkeit durch Angabe von mindestens </w:t>
      </w:r>
      <w:r w:rsidR="005A27FE" w:rsidRPr="00AD1F33">
        <w:rPr>
          <w:rFonts w:ascii="Arial" w:hAnsi="Arial" w:cs="Arial"/>
        </w:rPr>
        <w:t>drei</w:t>
      </w:r>
      <w:r w:rsidR="00591955" w:rsidRPr="00AD1F33">
        <w:rPr>
          <w:rFonts w:ascii="Arial" w:hAnsi="Arial" w:cs="Arial"/>
        </w:rPr>
        <w:t xml:space="preserve"> vergleichbaren Referenzen nach, die innerhalb der letzten acht abgeschlossenen Geschäftsjahre </w:t>
      </w:r>
      <w:r w:rsidR="00144016" w:rsidRPr="00AD1F33">
        <w:rPr>
          <w:rFonts w:ascii="Arial" w:hAnsi="Arial" w:cs="Arial"/>
        </w:rPr>
        <w:t xml:space="preserve">in den Leistungsphasen 1 bis 6 nach HOAI </w:t>
      </w:r>
      <w:r w:rsidR="00591955" w:rsidRPr="00AD1F33">
        <w:rPr>
          <w:rFonts w:ascii="Arial" w:hAnsi="Arial" w:cs="Arial"/>
        </w:rPr>
        <w:t>erbracht wurden</w:t>
      </w:r>
      <w:r w:rsidR="00144016" w:rsidRPr="00AD1F33">
        <w:rPr>
          <w:rFonts w:ascii="Arial" w:hAnsi="Arial" w:cs="Arial"/>
        </w:rPr>
        <w:t>. Mindestens eine Referenz muss davon</w:t>
      </w:r>
      <w:r w:rsidR="00944C73" w:rsidRPr="00AD1F33">
        <w:rPr>
          <w:rFonts w:ascii="Arial" w:hAnsi="Arial" w:cs="Arial"/>
        </w:rPr>
        <w:t xml:space="preserve"> die Planung von Fernwärmeleitungen </w:t>
      </w:r>
      <w:r w:rsidR="00144016" w:rsidRPr="00AD1F33">
        <w:rPr>
          <w:rFonts w:ascii="Arial" w:hAnsi="Arial" w:cs="Arial"/>
        </w:rPr>
        <w:t>als Planungsgegenstand haben</w:t>
      </w:r>
      <w:r w:rsidR="00591955" w:rsidRPr="00AD1F33">
        <w:rPr>
          <w:rFonts w:ascii="Arial" w:hAnsi="Arial" w:cs="Arial"/>
        </w:rPr>
        <w:t>. Die Auftraggeberin weist darauf hin, dass sie Referenzleistungen, die mehr als drei Jahre zurückliegen, berücksichtigt, um angesichts der typischerweise langen Planungs- und Realisierungszeiträume im Bereich der Infrastrukturplanung einen ausreichenden Wettbewerb sicherzustellen. Die Darstellung der Referenzen muss folgende Mindestangaben enthalten:</w:t>
      </w:r>
    </w:p>
    <w:p w14:paraId="4419BF8B" w14:textId="77777777" w:rsidR="005A27FE" w:rsidRPr="00AD1F33" w:rsidRDefault="005A27FE" w:rsidP="00AD1F33">
      <w:pPr>
        <w:pStyle w:val="Listenabsatz"/>
        <w:numPr>
          <w:ilvl w:val="0"/>
          <w:numId w:val="22"/>
        </w:numPr>
        <w:spacing w:before="120" w:after="120" w:line="360" w:lineRule="auto"/>
        <w:ind w:left="1428" w:hanging="357"/>
        <w:contextualSpacing w:val="0"/>
        <w:rPr>
          <w:rFonts w:ascii="Arial" w:hAnsi="Arial" w:cs="Arial"/>
        </w:rPr>
      </w:pPr>
      <w:r w:rsidRPr="00AD1F33">
        <w:rPr>
          <w:rFonts w:ascii="Arial" w:hAnsi="Arial" w:cs="Arial"/>
        </w:rPr>
        <w:t>Bezeichnung und kurze Beschreibung des Projekts (Art und Umfang der Leistung, erbrachte Leistungsphasen)</w:t>
      </w:r>
    </w:p>
    <w:p w14:paraId="04097289" w14:textId="77777777" w:rsidR="00DF6F61" w:rsidRPr="00AD1F33" w:rsidRDefault="00DF6F61" w:rsidP="00AD1F33">
      <w:pPr>
        <w:pStyle w:val="Listenabsatz"/>
        <w:numPr>
          <w:ilvl w:val="0"/>
          <w:numId w:val="22"/>
        </w:numPr>
        <w:spacing w:before="120" w:after="120" w:line="360" w:lineRule="auto"/>
        <w:ind w:left="1428" w:hanging="357"/>
        <w:contextualSpacing w:val="0"/>
        <w:rPr>
          <w:rFonts w:ascii="Arial" w:hAnsi="Arial" w:cs="Arial"/>
        </w:rPr>
      </w:pPr>
      <w:r w:rsidRPr="00AD1F33">
        <w:rPr>
          <w:rFonts w:ascii="Arial" w:hAnsi="Arial" w:cs="Arial"/>
        </w:rPr>
        <w:t>Auftraggeber (Name, Anschrift und Kontaktdaten zur Nachprüfbarkeit)</w:t>
      </w:r>
    </w:p>
    <w:p w14:paraId="797B9905" w14:textId="77777777" w:rsidR="00DF6F61" w:rsidRPr="00AD1F33" w:rsidRDefault="00DF6F61" w:rsidP="00AD1F33">
      <w:pPr>
        <w:pStyle w:val="Listenabsatz"/>
        <w:numPr>
          <w:ilvl w:val="0"/>
          <w:numId w:val="22"/>
        </w:numPr>
        <w:spacing w:before="120" w:after="120" w:line="360" w:lineRule="auto"/>
        <w:ind w:left="1428" w:hanging="357"/>
        <w:contextualSpacing w:val="0"/>
        <w:rPr>
          <w:rFonts w:ascii="Arial" w:hAnsi="Arial" w:cs="Arial"/>
        </w:rPr>
      </w:pPr>
      <w:r w:rsidRPr="00AD1F33">
        <w:rPr>
          <w:rFonts w:ascii="Arial" w:hAnsi="Arial" w:cs="Arial"/>
        </w:rPr>
        <w:t>Auftragswert (netto)</w:t>
      </w:r>
    </w:p>
    <w:p w14:paraId="15AA4CA8" w14:textId="77777777" w:rsidR="00DF6F61" w:rsidRPr="00AD1F33" w:rsidRDefault="00DF6F61" w:rsidP="00AD1F33">
      <w:pPr>
        <w:pStyle w:val="Listenabsatz"/>
        <w:numPr>
          <w:ilvl w:val="0"/>
          <w:numId w:val="22"/>
        </w:numPr>
        <w:spacing w:before="120" w:after="120" w:line="360" w:lineRule="auto"/>
        <w:ind w:left="1428" w:hanging="357"/>
        <w:contextualSpacing w:val="0"/>
        <w:rPr>
          <w:rFonts w:ascii="Arial" w:hAnsi="Arial" w:cs="Arial"/>
        </w:rPr>
      </w:pPr>
      <w:r w:rsidRPr="00AD1F33">
        <w:rPr>
          <w:rFonts w:ascii="Arial" w:hAnsi="Arial" w:cs="Arial"/>
        </w:rPr>
        <w:lastRenderedPageBreak/>
        <w:t>Leistungszeitraum (Beginn und Abschluss)</w:t>
      </w:r>
    </w:p>
    <w:p w14:paraId="414B94EF" w14:textId="77777777" w:rsidR="00DF6F61" w:rsidRPr="00AD1F33" w:rsidRDefault="00DF6F61" w:rsidP="00AD1F33">
      <w:pPr>
        <w:pStyle w:val="Listenabsatz"/>
        <w:numPr>
          <w:ilvl w:val="0"/>
          <w:numId w:val="22"/>
        </w:numPr>
        <w:spacing w:before="120" w:after="120" w:line="360" w:lineRule="auto"/>
        <w:ind w:left="1428" w:hanging="357"/>
        <w:contextualSpacing w:val="0"/>
        <w:rPr>
          <w:rFonts w:ascii="Arial" w:hAnsi="Arial" w:cs="Arial"/>
        </w:rPr>
      </w:pPr>
      <w:r w:rsidRPr="00AD1F33">
        <w:rPr>
          <w:rFonts w:ascii="Arial" w:hAnsi="Arial" w:cs="Arial"/>
        </w:rPr>
        <w:t>Bei Bietergemeinschaften oder Nachunternehmereinsatz: konkret eigener Leistungsanteil</w:t>
      </w:r>
    </w:p>
    <w:p w14:paraId="75A3F763" w14:textId="17BE8177" w:rsidR="00EC4C93" w:rsidRPr="00AD1F33" w:rsidRDefault="00DF6F61" w:rsidP="00AD1F33">
      <w:pPr>
        <w:pStyle w:val="Listenabsatz"/>
        <w:spacing w:before="120" w:after="120" w:line="360" w:lineRule="auto"/>
        <w:ind w:left="1134"/>
        <w:contextualSpacing w:val="0"/>
        <w:rPr>
          <w:rFonts w:ascii="Arial" w:hAnsi="Arial" w:cs="Arial"/>
        </w:rPr>
      </w:pPr>
      <w:r w:rsidRPr="00AD1F33">
        <w:rPr>
          <w:rFonts w:ascii="Arial" w:hAnsi="Arial" w:cs="Arial"/>
        </w:rPr>
        <w:t>Die Referenzen sind unter Verwendung des Formblatts 2.5 einzureichen.</w:t>
      </w:r>
    </w:p>
    <w:p w14:paraId="4582DDF5" w14:textId="77777777" w:rsidR="00AB2E1E" w:rsidRPr="00AD1F33" w:rsidRDefault="00AB2E1E" w:rsidP="00AD1F33">
      <w:pPr>
        <w:pStyle w:val="Listenabsatz"/>
        <w:spacing w:before="120" w:after="120" w:line="360" w:lineRule="auto"/>
        <w:ind w:left="1134"/>
        <w:contextualSpacing w:val="0"/>
        <w:rPr>
          <w:rFonts w:ascii="Arial" w:hAnsi="Arial" w:cs="Arial"/>
        </w:rPr>
      </w:pPr>
      <w:r w:rsidRPr="00AD1F33">
        <w:rPr>
          <w:rFonts w:ascii="Arial" w:hAnsi="Arial" w:cs="Arial"/>
        </w:rPr>
        <w:t>Als vergleichbar gelten Referenzen über Objektplanungsleistungen für Ingenieurbauwerke gemäß §§ 41 ff. HOAI, die Planungsleistungen für lineare Ver- oder Entsorgungsinfrastruktur zum Gegenstand haben und wesentliche Anteile aus mindestens zwei der folgenden Bereiche umfassen:</w:t>
      </w:r>
    </w:p>
    <w:p w14:paraId="6A96CF3A" w14:textId="77777777" w:rsidR="00AB2E1E" w:rsidRPr="00AD1F33" w:rsidRDefault="00AB2E1E" w:rsidP="00AD1F33">
      <w:pPr>
        <w:pStyle w:val="Listenabsatz"/>
        <w:numPr>
          <w:ilvl w:val="0"/>
          <w:numId w:val="22"/>
        </w:numPr>
        <w:spacing w:before="120" w:after="120" w:line="360" w:lineRule="auto"/>
        <w:ind w:left="1428" w:hanging="357"/>
        <w:contextualSpacing w:val="0"/>
        <w:rPr>
          <w:rFonts w:ascii="Arial" w:hAnsi="Arial" w:cs="Arial"/>
        </w:rPr>
      </w:pPr>
      <w:r w:rsidRPr="00AD1F33">
        <w:rPr>
          <w:rFonts w:ascii="Arial" w:hAnsi="Arial" w:cs="Arial"/>
        </w:rPr>
        <w:t>Trassenfindung und Variantenplanung (LP 1–2) für Fernwärme-, Trinkwasser- oder vergleichbare Ver-/Entsorgungsleitungen im öffentlichen oder industriellen Bereich,</w:t>
      </w:r>
    </w:p>
    <w:p w14:paraId="3698CBFF" w14:textId="77777777" w:rsidR="00AB2E1E" w:rsidRPr="00AD1F33" w:rsidRDefault="00AB2E1E" w:rsidP="00AD1F33">
      <w:pPr>
        <w:pStyle w:val="Listenabsatz"/>
        <w:numPr>
          <w:ilvl w:val="0"/>
          <w:numId w:val="22"/>
        </w:numPr>
        <w:spacing w:before="120" w:after="120" w:line="360" w:lineRule="auto"/>
        <w:ind w:left="1428" w:hanging="357"/>
        <w:contextualSpacing w:val="0"/>
        <w:rPr>
          <w:rFonts w:ascii="Arial" w:hAnsi="Arial" w:cs="Arial"/>
        </w:rPr>
      </w:pPr>
      <w:r w:rsidRPr="00AD1F33">
        <w:rPr>
          <w:rFonts w:ascii="Arial" w:hAnsi="Arial" w:cs="Arial"/>
        </w:rPr>
        <w:t>Planungsleistungen unter besonderen Randbedingungen (z.B. laufender Betrieb, geotechnisch schwierige Böden, Bergbaufolgelandschaften, Gewässernähe oder wasserrechtliche Genehmigungserfordernisse),</w:t>
      </w:r>
    </w:p>
    <w:p w14:paraId="1ED6CD01" w14:textId="77777777" w:rsidR="00AB2E1E" w:rsidRPr="00AD1F33" w:rsidRDefault="00AB2E1E" w:rsidP="00AD1F33">
      <w:pPr>
        <w:pStyle w:val="Listenabsatz"/>
        <w:numPr>
          <w:ilvl w:val="0"/>
          <w:numId w:val="22"/>
        </w:numPr>
        <w:spacing w:before="120" w:after="120" w:line="360" w:lineRule="auto"/>
        <w:ind w:left="1428" w:hanging="357"/>
        <w:contextualSpacing w:val="0"/>
        <w:rPr>
          <w:rFonts w:ascii="Arial" w:hAnsi="Arial" w:cs="Arial"/>
        </w:rPr>
      </w:pPr>
      <w:r w:rsidRPr="00AD1F33">
        <w:rPr>
          <w:rFonts w:ascii="Arial" w:hAnsi="Arial" w:cs="Arial"/>
        </w:rPr>
        <w:t>Planung bauzeitlicher Provisorien oder Überbrückungsmaßnahmen zur Aufrechterhaltung der Medienversorgung während der Bauausführung,</w:t>
      </w:r>
    </w:p>
    <w:p w14:paraId="31837143" w14:textId="29FAA0FD" w:rsidR="00AB2E1E" w:rsidRPr="00AD1F33" w:rsidRDefault="00AB2E1E" w:rsidP="00AD1F33">
      <w:pPr>
        <w:pStyle w:val="Listenabsatz"/>
        <w:numPr>
          <w:ilvl w:val="0"/>
          <w:numId w:val="22"/>
        </w:numPr>
        <w:spacing w:before="120" w:after="120" w:line="360" w:lineRule="auto"/>
        <w:ind w:left="1428" w:hanging="357"/>
        <w:contextualSpacing w:val="0"/>
        <w:rPr>
          <w:rFonts w:ascii="Arial" w:hAnsi="Arial" w:cs="Arial"/>
        </w:rPr>
      </w:pPr>
      <w:r w:rsidRPr="00AD1F33">
        <w:rPr>
          <w:rFonts w:ascii="Arial" w:hAnsi="Arial" w:cs="Arial"/>
        </w:rPr>
        <w:t>Erarbeitung von Genehmigungsunterlagen nach Wasserrecht oder Bergrecht.</w:t>
      </w:r>
    </w:p>
    <w:p w14:paraId="298CE42B" w14:textId="6A8705AC" w:rsidR="00AB2E1E" w:rsidRPr="00AD1F33" w:rsidRDefault="00AB2E1E" w:rsidP="00AD1F33">
      <w:pPr>
        <w:pStyle w:val="Listenabsatz"/>
        <w:spacing w:before="120" w:after="120" w:line="360" w:lineRule="auto"/>
        <w:ind w:left="1134"/>
        <w:contextualSpacing w:val="0"/>
        <w:rPr>
          <w:rFonts w:ascii="Arial" w:hAnsi="Arial" w:cs="Arial"/>
        </w:rPr>
      </w:pPr>
      <w:r w:rsidRPr="00AD1F33">
        <w:rPr>
          <w:rFonts w:ascii="Arial" w:hAnsi="Arial" w:cs="Arial"/>
        </w:rPr>
        <w:t xml:space="preserve">Jede Referenz muss anrechenbare Kosten des geplanten Objekts von mindestens EUR </w:t>
      </w:r>
      <w:r w:rsidR="0033610A" w:rsidRPr="00AD1F33">
        <w:rPr>
          <w:rFonts w:ascii="Arial" w:hAnsi="Arial" w:cs="Arial"/>
        </w:rPr>
        <w:t>2.000.000,00</w:t>
      </w:r>
      <w:r w:rsidRPr="00AD1F33">
        <w:rPr>
          <w:rFonts w:ascii="Arial" w:hAnsi="Arial" w:cs="Arial"/>
        </w:rPr>
        <w:t xml:space="preserve"> aufweisen.</w:t>
      </w:r>
    </w:p>
    <w:p w14:paraId="082B2C51" w14:textId="3DF6F5A8" w:rsidR="00EC4C93" w:rsidRPr="00AD1F33" w:rsidRDefault="00EF12F6" w:rsidP="00AD1F33">
      <w:pPr>
        <w:pStyle w:val="Listenabsatz"/>
        <w:spacing w:before="120" w:after="120" w:line="360" w:lineRule="auto"/>
        <w:ind w:left="1134"/>
        <w:contextualSpacing w:val="0"/>
        <w:rPr>
          <w:rFonts w:ascii="Arial" w:hAnsi="Arial" w:cs="Arial"/>
        </w:rPr>
      </w:pPr>
      <w:r w:rsidRPr="00AD1F33">
        <w:rPr>
          <w:rFonts w:ascii="Arial" w:hAnsi="Arial" w:cs="Arial"/>
        </w:rPr>
        <w:t>Die Auftraggeberin behält sich vor, beim jeweiligen Auftraggeber der Referenz Rückfragen zur Leistungserbringung zu stellen; die Bieter haben sicherzustellen, dass die angegebenen Kontaktdaten aktuell und für Rückfragen erreichbar sind.</w:t>
      </w:r>
    </w:p>
    <w:p w14:paraId="434E766A" w14:textId="58F19630" w:rsidR="002242F5" w:rsidRPr="00AD1F33" w:rsidRDefault="00DC3923" w:rsidP="00AD1F33">
      <w:pPr>
        <w:pStyle w:val="Listenabsatz"/>
        <w:numPr>
          <w:ilvl w:val="0"/>
          <w:numId w:val="7"/>
        </w:numPr>
        <w:spacing w:before="120" w:after="120" w:line="360" w:lineRule="auto"/>
        <w:ind w:left="1134" w:hanging="567"/>
        <w:rPr>
          <w:rFonts w:ascii="Arial" w:hAnsi="Arial" w:cs="Arial"/>
          <w:b/>
        </w:rPr>
      </w:pPr>
      <w:r w:rsidRPr="00AD1F33">
        <w:rPr>
          <w:rFonts w:ascii="Arial" w:hAnsi="Arial" w:cs="Arial"/>
          <w:b/>
          <w:bCs/>
        </w:rPr>
        <w:t>Benennung verantwortlicher Projektleitung:</w:t>
      </w:r>
      <w:r w:rsidRPr="00AD1F33">
        <w:rPr>
          <w:rFonts w:ascii="Arial" w:hAnsi="Arial" w:cs="Arial"/>
          <w:b/>
        </w:rPr>
        <w:t xml:space="preserve"> </w:t>
      </w:r>
      <w:r w:rsidRPr="00AD1F33">
        <w:rPr>
          <w:rFonts w:ascii="Arial" w:hAnsi="Arial" w:cs="Arial"/>
        </w:rPr>
        <w:t xml:space="preserve">Der Bieter benennt mit dem Angebot namentlich die für die Projektleitung vorgesehene Person sowie deren fachliche Qualifikation und einschlägige Berufserfahrung. Die benannte Person muss über mindestens </w:t>
      </w:r>
      <w:r w:rsidR="00B10C40" w:rsidRPr="00AD1F33">
        <w:rPr>
          <w:rFonts w:ascii="Arial" w:hAnsi="Arial" w:cs="Arial"/>
        </w:rPr>
        <w:t>10</w:t>
      </w:r>
      <w:r w:rsidRPr="00AD1F33">
        <w:rPr>
          <w:rFonts w:ascii="Arial" w:hAnsi="Arial" w:cs="Arial"/>
        </w:rPr>
        <w:t xml:space="preserve"> Jahre Berufserfahrung in der Objektplanung für Ingenieurbauwerke verfügen. Ein Wechsel der benannten Projektleitung während der Vertragslaufzeit bedarf der vorherigen Zustimmung der Auftraggeberin. Die Angaben sind im Formblatt 2.4 zu machen.</w:t>
      </w:r>
    </w:p>
    <w:p w14:paraId="6A0F37BF" w14:textId="6A07A0C3" w:rsidR="0078761A" w:rsidRPr="00AD1F33" w:rsidRDefault="005F4EE4">
      <w:pPr>
        <w:pStyle w:val="berschrift1"/>
        <w:spacing w:before="240" w:after="240" w:line="360" w:lineRule="auto"/>
        <w:ind w:hanging="567"/>
        <w:rPr>
          <w:rFonts w:ascii="Arial" w:hAnsi="Arial" w:cs="Arial"/>
        </w:rPr>
      </w:pPr>
      <w:bookmarkStart w:id="49" w:name="_Ref43737339_Kopie_1"/>
      <w:bookmarkStart w:id="50" w:name="_Toc214641441"/>
      <w:bookmarkStart w:id="51" w:name="_Toc230266763"/>
      <w:bookmarkEnd w:id="49"/>
      <w:r w:rsidRPr="00AD1F33">
        <w:rPr>
          <w:rFonts w:ascii="Arial" w:hAnsi="Arial" w:cs="Arial"/>
        </w:rPr>
        <w:lastRenderedPageBreak/>
        <w:t>Zuschlagskriterien</w:t>
      </w:r>
      <w:bookmarkEnd w:id="50"/>
      <w:bookmarkEnd w:id="51"/>
    </w:p>
    <w:p w14:paraId="6A0F37C0" w14:textId="0A2C76C1" w:rsidR="0078761A" w:rsidRPr="00AD1F33" w:rsidRDefault="00675AF0" w:rsidP="00AD1F33">
      <w:pPr>
        <w:spacing w:before="120" w:after="120" w:line="360" w:lineRule="auto"/>
        <w:ind w:left="567"/>
        <w:rPr>
          <w:rFonts w:ascii="Arial" w:hAnsi="Arial" w:cs="Arial"/>
        </w:rPr>
      </w:pPr>
      <w:r w:rsidRPr="00AD1F33">
        <w:rPr>
          <w:rFonts w:ascii="Arial" w:hAnsi="Arial" w:cs="Arial"/>
        </w:rPr>
        <w:t xml:space="preserve">Der Zuschlag wird – vorbehaltlich einer Aufhebung des Verfahrens – auf das wirtschaftlichste Angebot erteilt (§ 127 GWB </w:t>
      </w:r>
      <w:proofErr w:type="spellStart"/>
      <w:r w:rsidRPr="00AD1F33">
        <w:rPr>
          <w:rFonts w:ascii="Arial" w:hAnsi="Arial" w:cs="Arial"/>
        </w:rPr>
        <w:t>i.V.m</w:t>
      </w:r>
      <w:proofErr w:type="spellEnd"/>
      <w:r w:rsidRPr="00AD1F33">
        <w:rPr>
          <w:rFonts w:ascii="Arial" w:hAnsi="Arial" w:cs="Arial"/>
        </w:rPr>
        <w:t>. §§ 58, 73 VgV). Die Bewertung der Angebote erfolgt nach den folgenden Zuschlagskriterien und Gewichtungen:</w:t>
      </w:r>
    </w:p>
    <w:tbl>
      <w:tblPr>
        <w:tblStyle w:val="Tabellenraster"/>
        <w:tblW w:w="8500" w:type="dxa"/>
        <w:tblInd w:w="567" w:type="dxa"/>
        <w:tblLayout w:type="fixed"/>
        <w:tblLook w:val="04A0" w:firstRow="1" w:lastRow="0" w:firstColumn="1" w:lastColumn="0" w:noHBand="0" w:noVBand="1"/>
      </w:tblPr>
      <w:tblGrid>
        <w:gridCol w:w="3964"/>
        <w:gridCol w:w="4536"/>
      </w:tblGrid>
      <w:tr w:rsidR="0078761A" w:rsidRPr="00AD1F33" w14:paraId="6A0F37C3" w14:textId="77777777">
        <w:tc>
          <w:tcPr>
            <w:tcW w:w="3964" w:type="dxa"/>
          </w:tcPr>
          <w:p w14:paraId="6A0F37C1" w14:textId="77777777" w:rsidR="0078761A" w:rsidRPr="00AD1F33" w:rsidRDefault="005F4EE4">
            <w:pPr>
              <w:shd w:val="clear" w:color="BFBFBF" w:themeColor="background1" w:themeShade="BF" w:fill="BFBFBF" w:themeFill="background1" w:themeFillShade="BF"/>
              <w:spacing w:before="120" w:after="120" w:line="360" w:lineRule="auto"/>
              <w:rPr>
                <w:rFonts w:ascii="Arial" w:hAnsi="Arial" w:cs="Arial"/>
                <w:b/>
                <w:bCs/>
                <w:color w:val="FFFFFF" w:themeColor="background1"/>
              </w:rPr>
            </w:pPr>
            <w:r w:rsidRPr="00AD1F33">
              <w:rPr>
                <w:rFonts w:ascii="Arial" w:hAnsi="Arial" w:cs="Arial"/>
                <w:b/>
                <w:bCs/>
                <w:color w:val="FFFFFF" w:themeColor="background1"/>
              </w:rPr>
              <w:t xml:space="preserve">Zuschlagskriterium </w:t>
            </w:r>
          </w:p>
        </w:tc>
        <w:tc>
          <w:tcPr>
            <w:tcW w:w="4536" w:type="dxa"/>
          </w:tcPr>
          <w:p w14:paraId="6A0F37C2" w14:textId="77777777" w:rsidR="0078761A" w:rsidRPr="00AD1F33" w:rsidRDefault="005F4EE4">
            <w:pPr>
              <w:shd w:val="clear" w:color="BFBFBF" w:themeColor="background1" w:themeShade="BF" w:fill="BFBFBF" w:themeFill="background1" w:themeFillShade="BF"/>
              <w:spacing w:before="120" w:after="120" w:line="360" w:lineRule="auto"/>
              <w:rPr>
                <w:rFonts w:ascii="Arial" w:hAnsi="Arial" w:cs="Arial"/>
                <w:b/>
                <w:bCs/>
                <w:color w:val="FFFFFF" w:themeColor="background1"/>
              </w:rPr>
            </w:pPr>
            <w:r w:rsidRPr="00AD1F33">
              <w:rPr>
                <w:rFonts w:ascii="Arial" w:hAnsi="Arial" w:cs="Arial"/>
                <w:b/>
                <w:bCs/>
                <w:color w:val="FFFFFF" w:themeColor="background1"/>
              </w:rPr>
              <w:t xml:space="preserve">Gewichtung in % </w:t>
            </w:r>
          </w:p>
        </w:tc>
      </w:tr>
      <w:tr w:rsidR="0078761A" w:rsidRPr="00AD1F33" w14:paraId="6A0F37C6" w14:textId="77777777">
        <w:tc>
          <w:tcPr>
            <w:tcW w:w="3964" w:type="dxa"/>
          </w:tcPr>
          <w:p w14:paraId="6A0F37C4" w14:textId="77777777" w:rsidR="0078761A" w:rsidRPr="00AD1F33" w:rsidRDefault="005F4EE4">
            <w:pPr>
              <w:spacing w:before="120" w:after="120" w:line="360" w:lineRule="auto"/>
              <w:rPr>
                <w:rFonts w:ascii="Arial" w:hAnsi="Arial" w:cs="Arial"/>
                <w:b/>
                <w:bCs/>
              </w:rPr>
            </w:pPr>
            <w:r w:rsidRPr="00AD1F33">
              <w:rPr>
                <w:rFonts w:ascii="Arial" w:hAnsi="Arial" w:cs="Arial"/>
                <w:b/>
                <w:bCs/>
              </w:rPr>
              <w:t xml:space="preserve">Preis </w:t>
            </w:r>
          </w:p>
        </w:tc>
        <w:tc>
          <w:tcPr>
            <w:tcW w:w="4536" w:type="dxa"/>
          </w:tcPr>
          <w:p w14:paraId="6A0F37C5" w14:textId="005EA17B" w:rsidR="0078761A" w:rsidRPr="00AD1F33" w:rsidRDefault="00675AF0">
            <w:pPr>
              <w:spacing w:before="120" w:after="120" w:line="360" w:lineRule="auto"/>
              <w:jc w:val="center"/>
              <w:rPr>
                <w:rFonts w:ascii="Arial" w:hAnsi="Arial" w:cs="Arial"/>
                <w:b/>
                <w:bCs/>
              </w:rPr>
            </w:pPr>
            <w:r w:rsidRPr="00AD1F33">
              <w:rPr>
                <w:rFonts w:ascii="Arial" w:hAnsi="Arial" w:cs="Arial"/>
                <w:b/>
                <w:bCs/>
              </w:rPr>
              <w:t>7</w:t>
            </w:r>
            <w:r w:rsidR="00074839" w:rsidRPr="00AD1F33">
              <w:rPr>
                <w:rFonts w:ascii="Arial" w:hAnsi="Arial" w:cs="Arial"/>
                <w:b/>
                <w:bCs/>
              </w:rPr>
              <w:t>0</w:t>
            </w:r>
            <w:r w:rsidR="005F4EE4" w:rsidRPr="00AD1F33">
              <w:rPr>
                <w:rFonts w:ascii="Arial" w:hAnsi="Arial" w:cs="Arial"/>
                <w:b/>
                <w:bCs/>
              </w:rPr>
              <w:t xml:space="preserve"> % </w:t>
            </w:r>
          </w:p>
        </w:tc>
      </w:tr>
      <w:tr w:rsidR="0078761A" w:rsidRPr="00AD1F33" w14:paraId="6A0F37C9" w14:textId="77777777">
        <w:trPr>
          <w:trHeight w:val="499"/>
        </w:trPr>
        <w:tc>
          <w:tcPr>
            <w:tcW w:w="3964" w:type="dxa"/>
          </w:tcPr>
          <w:p w14:paraId="6A0F37C7" w14:textId="77777777" w:rsidR="0078761A" w:rsidRPr="00AD1F33" w:rsidRDefault="005F4EE4">
            <w:pPr>
              <w:spacing w:before="120" w:after="120" w:line="360" w:lineRule="auto"/>
              <w:rPr>
                <w:rFonts w:ascii="Arial" w:hAnsi="Arial" w:cs="Arial"/>
                <w:b/>
                <w:bCs/>
              </w:rPr>
            </w:pPr>
            <w:r w:rsidRPr="00AD1F33">
              <w:rPr>
                <w:rFonts w:ascii="Arial" w:hAnsi="Arial" w:cs="Arial"/>
                <w:b/>
                <w:bCs/>
              </w:rPr>
              <w:t xml:space="preserve">Qualität </w:t>
            </w:r>
          </w:p>
        </w:tc>
        <w:tc>
          <w:tcPr>
            <w:tcW w:w="4536" w:type="dxa"/>
            <w:vAlign w:val="center"/>
          </w:tcPr>
          <w:p w14:paraId="6A0F37C8" w14:textId="5A303E39" w:rsidR="0078761A" w:rsidRPr="00AD1F33" w:rsidRDefault="00675AF0">
            <w:pPr>
              <w:spacing w:before="120" w:after="120" w:line="360" w:lineRule="auto"/>
              <w:jc w:val="center"/>
              <w:rPr>
                <w:rFonts w:ascii="Arial" w:hAnsi="Arial" w:cs="Arial"/>
                <w:b/>
                <w:bCs/>
              </w:rPr>
            </w:pPr>
            <w:r w:rsidRPr="00AD1F33">
              <w:rPr>
                <w:rFonts w:ascii="Arial" w:hAnsi="Arial" w:cs="Arial"/>
                <w:b/>
                <w:bCs/>
              </w:rPr>
              <w:t>3</w:t>
            </w:r>
            <w:r w:rsidR="005F4EE4" w:rsidRPr="00AD1F33">
              <w:rPr>
                <w:rFonts w:ascii="Arial" w:hAnsi="Arial" w:cs="Arial"/>
                <w:b/>
                <w:bCs/>
              </w:rPr>
              <w:t xml:space="preserve">0 % </w:t>
            </w:r>
          </w:p>
        </w:tc>
      </w:tr>
    </w:tbl>
    <w:p w14:paraId="6A0F37CA" w14:textId="5937F404" w:rsidR="0078761A" w:rsidRPr="00AD1F33" w:rsidRDefault="00085AFB" w:rsidP="00AD1F33">
      <w:pPr>
        <w:spacing w:before="120" w:after="120" w:line="360" w:lineRule="auto"/>
        <w:ind w:left="567"/>
        <w:rPr>
          <w:rFonts w:ascii="Arial" w:hAnsi="Arial" w:cs="Arial"/>
        </w:rPr>
      </w:pPr>
      <w:r w:rsidRPr="00AD1F33">
        <w:rPr>
          <w:rFonts w:ascii="Arial" w:hAnsi="Arial" w:cs="Arial"/>
        </w:rPr>
        <w:t xml:space="preserve">Für Preis und Qualität können jeweils </w:t>
      </w:r>
      <w:r w:rsidRPr="00AD1F33">
        <w:rPr>
          <w:rFonts w:ascii="Arial" w:hAnsi="Arial" w:cs="Arial"/>
          <w:b/>
          <w:u w:val="single"/>
        </w:rPr>
        <w:t>maximal 100 Punkte</w:t>
      </w:r>
      <w:r w:rsidRPr="00AD1F33">
        <w:rPr>
          <w:rFonts w:ascii="Arial" w:hAnsi="Arial" w:cs="Arial"/>
        </w:rPr>
        <w:t xml:space="preserve"> erzielt werden. Die Gesamtpunktzahl eines Angebots ergibt sich aus der Summe der mit den jeweiligen Gewichtungsfaktoren multiplizierten Einzelpunktezahlen. Der Zuschlag wird auf das Angebot mit der höchsten Gesamtpunktzahl erteilt. Bei Punktgleichstand ist das Angebot mit dem niedrigeren Honorarangebot maßgeblich.</w:t>
      </w:r>
    </w:p>
    <w:p w14:paraId="6A0F37CB"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52" w:name="_Toc214641442"/>
      <w:bookmarkStart w:id="53" w:name="_Toc230266764"/>
      <w:r w:rsidRPr="00AD1F33">
        <w:rPr>
          <w:rFonts w:ascii="Arial" w:hAnsi="Arial" w:cs="Arial"/>
        </w:rPr>
        <w:t>Preis (100 Punkte)</w:t>
      </w:r>
      <w:bookmarkEnd w:id="52"/>
      <w:bookmarkEnd w:id="53"/>
    </w:p>
    <w:p w14:paraId="67E730FC" w14:textId="54AE175D" w:rsidR="00622CC6" w:rsidRPr="00AD1F33" w:rsidRDefault="00B52866" w:rsidP="00622CC6">
      <w:pPr>
        <w:spacing w:before="240" w:after="120" w:line="360" w:lineRule="auto"/>
        <w:ind w:left="567"/>
        <w:rPr>
          <w:rFonts w:ascii="Arial" w:hAnsi="Arial" w:cs="Arial"/>
        </w:rPr>
      </w:pPr>
      <w:r w:rsidRPr="00AD1F33">
        <w:rPr>
          <w:rFonts w:ascii="Arial" w:hAnsi="Arial" w:cs="Arial"/>
        </w:rPr>
        <w:t>Grundlage der Preisbewertung ist die Gesamtangebotssumme brutto aus dem vollständig ausgefüllten Preisblatt zum Angebot (beide Objekte einschließlich besonderer Leistungen und Nebenkosten). Die Honorarangaben sind in Euro anzugeben. Das Angebot mit dem niedrigsten Gesamtangebotspreis erhält die volle Punktzahl von 100 Punkten. Die Bewertung der übrigen Angebote erfolgt nach der einfachen linearen Methode</w:t>
      </w:r>
      <w:r w:rsidR="00622CC6" w:rsidRPr="00AD1F33">
        <w:rPr>
          <w:rFonts w:ascii="Arial" w:hAnsi="Arial" w:cs="Arial"/>
        </w:rPr>
        <w:t>:</w:t>
      </w:r>
    </w:p>
    <w:p w14:paraId="6A0F37D6" w14:textId="7E3074EA" w:rsidR="0078761A" w:rsidRPr="00AD1F33" w:rsidRDefault="005F4EE4">
      <w:pPr>
        <w:spacing w:before="360" w:after="360" w:line="360" w:lineRule="auto"/>
        <w:ind w:left="567"/>
        <w:jc w:val="center"/>
        <w:rPr>
          <w:rFonts w:ascii="Arial" w:hAnsi="Arial" w:cs="Arial"/>
          <w:b/>
          <w:bCs/>
        </w:rPr>
      </w:pPr>
      <m:oMathPara>
        <m:oMathParaPr>
          <m:jc m:val="center"/>
        </m:oMathParaPr>
        <m:oMath>
          <m:r>
            <w:rPr>
              <w:rFonts w:ascii="Cambria Math" w:hAnsi="Cambria Math" w:cs="Arial"/>
            </w:rPr>
            <m:t>Punkte</m:t>
          </m:r>
          <m:r>
            <m:rPr>
              <m:lit/>
              <m:nor/>
            </m:rPr>
            <w:rPr>
              <w:rFonts w:ascii="Arial" w:hAnsi="Arial" w:cs="Arial"/>
            </w:rPr>
            <m:t>=</m:t>
          </m:r>
          <m:d>
            <m:dPr>
              <m:ctrlPr>
                <w:rPr>
                  <w:rFonts w:ascii="Cambria Math" w:hAnsi="Cambria Math" w:cs="Arial"/>
                </w:rPr>
              </m:ctrlPr>
            </m:dPr>
            <m:e>
              <m:f>
                <m:fPr>
                  <m:ctrlPr>
                    <w:rPr>
                      <w:rFonts w:ascii="Cambria Math" w:hAnsi="Cambria Math" w:cs="Arial"/>
                    </w:rPr>
                  </m:ctrlPr>
                </m:fPr>
                <m:num>
                  <m:r>
                    <w:rPr>
                      <w:rFonts w:ascii="Cambria Math" w:hAnsi="Cambria Math" w:cs="Arial"/>
                    </w:rPr>
                    <m:t>niedrigster Angebotspreis</m:t>
                  </m:r>
                </m:num>
                <m:den>
                  <m:r>
                    <w:rPr>
                      <w:rFonts w:ascii="Cambria Math" w:hAnsi="Cambria Math" w:cs="Arial"/>
                    </w:rPr>
                    <m:t>Angebotspreis des Bieters</m:t>
                  </m:r>
                </m:den>
              </m:f>
            </m:e>
          </m:d>
          <m:r>
            <m:rPr>
              <m:lit/>
              <m:nor/>
            </m:rPr>
            <w:rPr>
              <w:rFonts w:ascii="Arial" w:hAnsi="Arial" w:cs="Arial"/>
            </w:rPr>
            <m:t xml:space="preserve"> </m:t>
          </m:r>
          <m:r>
            <w:rPr>
              <w:rFonts w:ascii="Cambria Math" w:hAnsi="Cambria Math" w:cs="Arial"/>
            </w:rPr>
            <m:t>x</m:t>
          </m:r>
          <m:r>
            <m:rPr>
              <m:lit/>
              <m:nor/>
            </m:rPr>
            <w:rPr>
              <w:rFonts w:ascii="Arial" w:hAnsi="Arial" w:cs="Arial"/>
            </w:rPr>
            <m:t xml:space="preserve"> </m:t>
          </m:r>
          <m:r>
            <w:rPr>
              <w:rFonts w:ascii="Cambria Math" w:hAnsi="Cambria Math" w:cs="Arial"/>
            </w:rPr>
            <m:t>100</m:t>
          </m:r>
        </m:oMath>
      </m:oMathPara>
    </w:p>
    <w:p w14:paraId="2349B976" w14:textId="77777777" w:rsidR="009D3B5B" w:rsidRPr="00AD1F33" w:rsidRDefault="009D3B5B" w:rsidP="009D3B5B">
      <w:pPr>
        <w:pStyle w:val="berschrift2"/>
        <w:numPr>
          <w:ilvl w:val="1"/>
          <w:numId w:val="3"/>
        </w:numPr>
        <w:spacing w:before="240" w:after="240" w:line="360" w:lineRule="auto"/>
        <w:ind w:hanging="567"/>
        <w:rPr>
          <w:rFonts w:ascii="Arial" w:hAnsi="Arial" w:cs="Arial"/>
        </w:rPr>
      </w:pPr>
      <w:bookmarkStart w:id="54" w:name="_Toc214641443"/>
      <w:bookmarkStart w:id="55" w:name="_Toc225030213"/>
      <w:bookmarkStart w:id="56" w:name="_Toc230266765"/>
      <w:r w:rsidRPr="00AD1F33">
        <w:rPr>
          <w:rFonts w:ascii="Arial" w:hAnsi="Arial" w:cs="Arial"/>
        </w:rPr>
        <w:t>Qualität: Konzept zur Leistungserbringung (100 Punkte)</w:t>
      </w:r>
      <w:bookmarkEnd w:id="54"/>
      <w:bookmarkEnd w:id="55"/>
      <w:bookmarkEnd w:id="56"/>
    </w:p>
    <w:p w14:paraId="30A619FA" w14:textId="77777777" w:rsidR="00F64556" w:rsidRPr="00AD1F33" w:rsidRDefault="00F64556" w:rsidP="00F64556">
      <w:pPr>
        <w:spacing w:before="120" w:after="120" w:line="360" w:lineRule="auto"/>
        <w:ind w:left="567"/>
        <w:rPr>
          <w:rFonts w:ascii="Arial" w:eastAsia="Calibri" w:hAnsi="Arial" w:cs="Arial"/>
          <w:szCs w:val="24"/>
        </w:rPr>
      </w:pPr>
      <w:r w:rsidRPr="00AD1F33">
        <w:rPr>
          <w:rFonts w:ascii="Arial" w:eastAsia="Calibri" w:hAnsi="Arial" w:cs="Arial"/>
          <w:szCs w:val="24"/>
        </w:rPr>
        <w:t xml:space="preserve">Der Bieter hat mit dem Angebot ein Verfahrenskonzept vorzulegen (Formblatt 2.3). Das mit dem Angebot eingereichte Verfahrenskonzept wird im Zuschlagsfall Bestandteil des Ingenieurvertrags. Die darin enthaltenen Angaben zur Herangehensweise, zur Planungsidee und zur Leistungserbringung sind für den Auftragnehmer verbindlich und begründen eigenständige vertragliche Leistungspflichten. Weicht die tatsächliche </w:t>
      </w:r>
      <w:r w:rsidRPr="00AD1F33">
        <w:rPr>
          <w:rFonts w:ascii="Arial" w:eastAsia="Calibri" w:hAnsi="Arial" w:cs="Arial"/>
          <w:szCs w:val="24"/>
        </w:rPr>
        <w:lastRenderedPageBreak/>
        <w:t>Leistungserbringung von den im Konzept gemachten Angaben ab, berechtigt dies die Auftraggeberin zur Geltendmachung der ihr nach Vertrag und Gesetz zustehenden Rechte. Änderungen gegenüber dem eingereichten Konzept bedürfen der vorherigen schriftlichen Zustimmung der Auftraggeberin.</w:t>
      </w:r>
    </w:p>
    <w:p w14:paraId="6F3F5FF6" w14:textId="77777777" w:rsidR="00F64556" w:rsidRPr="00AD1F33" w:rsidRDefault="00F64556" w:rsidP="00F64556">
      <w:pPr>
        <w:spacing w:before="120" w:after="120" w:line="360" w:lineRule="auto"/>
        <w:ind w:left="567"/>
        <w:rPr>
          <w:rFonts w:ascii="Arial" w:eastAsia="Calibri" w:hAnsi="Arial" w:cs="Arial"/>
          <w:szCs w:val="24"/>
        </w:rPr>
      </w:pPr>
      <w:r w:rsidRPr="00AD1F33">
        <w:rPr>
          <w:rFonts w:ascii="Arial" w:eastAsia="Calibri" w:hAnsi="Arial" w:cs="Arial"/>
          <w:szCs w:val="24"/>
        </w:rPr>
        <w:t>Das Verfahrenskonzept darf nicht die vollständige Planung des Bieters vorwegnehmen, sondern soll ausgewählte Aspekte der sich stellenden Planungsaufgabe adressieren. Der Bieter hat streng darauf zu achten, dass er mit dem Verfahrenskonzept die Vergabeunterlagen nicht abändert und keinen anderen Beschaffungsgegenstand konzeptioniert, als ihn die Auftraggeberin mit der Vergabeunterlage geäußert hat. Verstöße hiergegen können zum Angebotsausschluss führen.</w:t>
      </w:r>
    </w:p>
    <w:p w14:paraId="6D515FE5" w14:textId="468CB60E" w:rsidR="00F64556" w:rsidRPr="00AD1F33" w:rsidRDefault="00F64556" w:rsidP="00F64556">
      <w:pPr>
        <w:spacing w:before="120" w:after="120" w:line="360" w:lineRule="auto"/>
        <w:ind w:left="567"/>
        <w:rPr>
          <w:rFonts w:ascii="Arial" w:eastAsia="Calibri" w:hAnsi="Arial" w:cs="Arial"/>
          <w:szCs w:val="24"/>
        </w:rPr>
      </w:pPr>
      <w:r w:rsidRPr="00AD1F33">
        <w:rPr>
          <w:rFonts w:ascii="Arial" w:eastAsia="Calibri" w:hAnsi="Arial" w:cs="Arial"/>
          <w:szCs w:val="24"/>
        </w:rPr>
        <w:t xml:space="preserve">Das Verfahrenskonzept ist in fünf Kapitel zu gliedern. Die nachstehend vorgegebenen Kapitelüberschriften sind vom Bieter unverändert zu übernehmen. Ablaufpläne, Organigramme und sonstige erläuternde Anlagen sind als Anlagen beizufügen und zählen nicht zum maximalen Seitenumfang von insgesamt 15 DIN-A4-Seiten (Schriftgröße mindestens 10 Punkt, Seitenränder </w:t>
      </w:r>
      <w:r w:rsidR="00AD1F33">
        <w:rPr>
          <w:rFonts w:ascii="Arial" w:eastAsia="Calibri" w:hAnsi="Arial" w:cs="Arial"/>
          <w:szCs w:val="24"/>
        </w:rPr>
        <w:t>mind.</w:t>
      </w:r>
      <w:r w:rsidRPr="00AD1F33">
        <w:rPr>
          <w:rFonts w:ascii="Arial" w:eastAsia="Calibri" w:hAnsi="Arial" w:cs="Arial"/>
          <w:szCs w:val="24"/>
        </w:rPr>
        <w:t xml:space="preserve"> 2 cm). Konzeptteile, die den vorgegebenen </w:t>
      </w:r>
      <w:r w:rsidR="00AD1F33">
        <w:rPr>
          <w:rFonts w:ascii="Arial" w:eastAsia="Calibri" w:hAnsi="Arial" w:cs="Arial"/>
          <w:szCs w:val="24"/>
        </w:rPr>
        <w:t>U</w:t>
      </w:r>
      <w:r w:rsidRPr="00AD1F33">
        <w:rPr>
          <w:rFonts w:ascii="Arial" w:eastAsia="Calibri" w:hAnsi="Arial" w:cs="Arial"/>
          <w:szCs w:val="24"/>
        </w:rPr>
        <w:t>mfang überschreiten, werden bei der Wertung nicht berücksichtigt. Anlagen sind eindeutig zu kennzeichnen und im Konzept klar zu referenzieren.</w:t>
      </w:r>
    </w:p>
    <w:p w14:paraId="5017801A" w14:textId="457F304F" w:rsidR="009D3B5B" w:rsidRPr="00AD1F33" w:rsidRDefault="00F64556" w:rsidP="00F64556">
      <w:pPr>
        <w:spacing w:before="120" w:after="120" w:line="360" w:lineRule="auto"/>
        <w:ind w:left="567"/>
        <w:rPr>
          <w:rFonts w:ascii="Arial" w:eastAsia="Calibri" w:hAnsi="Arial" w:cs="Arial"/>
          <w:szCs w:val="24"/>
        </w:rPr>
      </w:pPr>
      <w:r w:rsidRPr="00AD1F33">
        <w:rPr>
          <w:rFonts w:ascii="Arial" w:eastAsia="Calibri" w:hAnsi="Arial" w:cs="Arial"/>
          <w:szCs w:val="24"/>
        </w:rPr>
        <w:t>Das Verfahrenskonzept wird anhand der folgenden fünf Unterkriterien bewertet. Jedes Unterkriterium wird auf einer Skala von 0 bis 5 Punkten bewertet und mit dem jeweiligen Gewichtungsfaktor multipliziert. Die Gesamtpunktzahl Qualität ergibt sich aus der Summe der Einzelwerte:</w:t>
      </w:r>
    </w:p>
    <w:tbl>
      <w:tblPr>
        <w:tblW w:w="0" w:type="auto"/>
        <w:tblCellSpacing w:w="15" w:type="dxa"/>
        <w:tblInd w:w="567" w:type="dxa"/>
        <w:tblLayout w:type="fixed"/>
        <w:tblCellMar>
          <w:top w:w="15" w:type="dxa"/>
          <w:left w:w="15" w:type="dxa"/>
          <w:bottom w:w="15" w:type="dxa"/>
          <w:right w:w="15" w:type="dxa"/>
        </w:tblCellMar>
        <w:tblLook w:val="04A0" w:firstRow="1" w:lastRow="0" w:firstColumn="1" w:lastColumn="0" w:noHBand="0" w:noVBand="1"/>
      </w:tblPr>
      <w:tblGrid>
        <w:gridCol w:w="4820"/>
        <w:gridCol w:w="425"/>
        <w:gridCol w:w="1701"/>
        <w:gridCol w:w="1559"/>
      </w:tblGrid>
      <w:tr w:rsidR="0026341C" w:rsidRPr="00AD1F33" w14:paraId="3D914E04" w14:textId="77777777" w:rsidTr="00AD1F33">
        <w:trPr>
          <w:trHeight w:val="600"/>
          <w:tblHeader/>
          <w:tblCellSpacing w:w="15" w:type="dxa"/>
        </w:trPr>
        <w:tc>
          <w:tcPr>
            <w:tcW w:w="4775" w:type="dxa"/>
            <w:vAlign w:val="center"/>
            <w:hideMark/>
          </w:tcPr>
          <w:p w14:paraId="15BD22C5" w14:textId="77777777" w:rsidR="0026341C" w:rsidRPr="00AD1F33" w:rsidRDefault="0026341C" w:rsidP="00502A7C">
            <w:pPr>
              <w:spacing w:after="160" w:line="259" w:lineRule="auto"/>
              <w:jc w:val="left"/>
              <w:rPr>
                <w:rFonts w:ascii="Arial" w:hAnsi="Arial" w:cs="Arial"/>
                <w:b/>
                <w:bCs/>
              </w:rPr>
            </w:pPr>
            <w:r w:rsidRPr="00AD1F33">
              <w:rPr>
                <w:rFonts w:ascii="Arial" w:hAnsi="Arial" w:cs="Arial"/>
                <w:b/>
                <w:bCs/>
              </w:rPr>
              <w:t>Unterkriterium</w:t>
            </w:r>
          </w:p>
        </w:tc>
        <w:tc>
          <w:tcPr>
            <w:tcW w:w="2096" w:type="dxa"/>
            <w:gridSpan w:val="2"/>
            <w:vAlign w:val="center"/>
            <w:hideMark/>
          </w:tcPr>
          <w:p w14:paraId="13EB9F09" w14:textId="447445D2" w:rsidR="0026341C" w:rsidRPr="00AD1F33" w:rsidRDefault="0026341C" w:rsidP="0026341C">
            <w:pPr>
              <w:spacing w:after="160" w:line="259" w:lineRule="auto"/>
              <w:jc w:val="center"/>
              <w:rPr>
                <w:rFonts w:ascii="Arial" w:hAnsi="Arial" w:cs="Arial"/>
                <w:b/>
                <w:bCs/>
              </w:rPr>
            </w:pPr>
            <w:r w:rsidRPr="00AD1F33">
              <w:rPr>
                <w:rFonts w:ascii="Arial" w:hAnsi="Arial" w:cs="Arial"/>
                <w:b/>
                <w:bCs/>
              </w:rPr>
              <w:t>Gewichtungsfaktor</w:t>
            </w:r>
          </w:p>
        </w:tc>
        <w:tc>
          <w:tcPr>
            <w:tcW w:w="1514" w:type="dxa"/>
            <w:vAlign w:val="center"/>
            <w:hideMark/>
          </w:tcPr>
          <w:p w14:paraId="5140C9FA" w14:textId="77777777" w:rsidR="0026341C" w:rsidRPr="00AD1F33" w:rsidRDefault="0026341C" w:rsidP="0026341C">
            <w:pPr>
              <w:spacing w:after="160" w:line="259" w:lineRule="auto"/>
              <w:jc w:val="center"/>
              <w:rPr>
                <w:rFonts w:ascii="Arial" w:hAnsi="Arial" w:cs="Arial"/>
                <w:b/>
                <w:bCs/>
              </w:rPr>
            </w:pPr>
            <w:r w:rsidRPr="00AD1F33">
              <w:rPr>
                <w:rFonts w:ascii="Arial" w:hAnsi="Arial" w:cs="Arial"/>
                <w:b/>
                <w:bCs/>
              </w:rPr>
              <w:t>Max. Punkte</w:t>
            </w:r>
          </w:p>
        </w:tc>
      </w:tr>
      <w:tr w:rsidR="0026341C" w:rsidRPr="00AD1F33" w14:paraId="1AFC6D09" w14:textId="77777777" w:rsidTr="0026341C">
        <w:trPr>
          <w:tblCellSpacing w:w="15" w:type="dxa"/>
        </w:trPr>
        <w:tc>
          <w:tcPr>
            <w:tcW w:w="5200" w:type="dxa"/>
            <w:gridSpan w:val="2"/>
            <w:vAlign w:val="center"/>
            <w:hideMark/>
          </w:tcPr>
          <w:p w14:paraId="0A6AD343" w14:textId="77777777" w:rsidR="0026341C" w:rsidRPr="00AD1F33" w:rsidRDefault="0026341C" w:rsidP="00502A7C">
            <w:pPr>
              <w:spacing w:after="160" w:line="259" w:lineRule="auto"/>
              <w:rPr>
                <w:rFonts w:ascii="Arial" w:hAnsi="Arial" w:cs="Arial"/>
              </w:rPr>
            </w:pPr>
            <w:r w:rsidRPr="00AD1F33">
              <w:rPr>
                <w:rFonts w:ascii="Arial" w:hAnsi="Arial" w:cs="Arial"/>
              </w:rPr>
              <w:t>UK 1: Herangehensweise bei komplexen Planungsleistungen</w:t>
            </w:r>
          </w:p>
        </w:tc>
        <w:tc>
          <w:tcPr>
            <w:tcW w:w="1671" w:type="dxa"/>
            <w:vAlign w:val="center"/>
            <w:hideMark/>
          </w:tcPr>
          <w:p w14:paraId="3F3762B8" w14:textId="77777777" w:rsidR="0026341C" w:rsidRPr="00AD1F33" w:rsidRDefault="0026341C" w:rsidP="0026341C">
            <w:pPr>
              <w:spacing w:after="160" w:line="259" w:lineRule="auto"/>
              <w:jc w:val="center"/>
              <w:rPr>
                <w:rFonts w:ascii="Arial" w:hAnsi="Arial" w:cs="Arial"/>
              </w:rPr>
            </w:pPr>
            <w:r w:rsidRPr="00AD1F33">
              <w:rPr>
                <w:rFonts w:ascii="Arial" w:hAnsi="Arial" w:cs="Arial"/>
              </w:rPr>
              <w:t>4</w:t>
            </w:r>
          </w:p>
        </w:tc>
        <w:tc>
          <w:tcPr>
            <w:tcW w:w="1514" w:type="dxa"/>
            <w:vAlign w:val="center"/>
            <w:hideMark/>
          </w:tcPr>
          <w:p w14:paraId="4AD2FB38" w14:textId="77777777" w:rsidR="0026341C" w:rsidRPr="00AD1F33" w:rsidRDefault="0026341C" w:rsidP="0026341C">
            <w:pPr>
              <w:spacing w:after="160" w:line="259" w:lineRule="auto"/>
              <w:jc w:val="center"/>
              <w:rPr>
                <w:rFonts w:ascii="Arial" w:hAnsi="Arial" w:cs="Arial"/>
              </w:rPr>
            </w:pPr>
            <w:r w:rsidRPr="00AD1F33">
              <w:rPr>
                <w:rFonts w:ascii="Arial" w:hAnsi="Arial" w:cs="Arial"/>
              </w:rPr>
              <w:t>20</w:t>
            </w:r>
          </w:p>
        </w:tc>
      </w:tr>
      <w:tr w:rsidR="0026341C" w:rsidRPr="00AD1F33" w14:paraId="5075AC55" w14:textId="77777777" w:rsidTr="0026341C">
        <w:trPr>
          <w:tblCellSpacing w:w="15" w:type="dxa"/>
        </w:trPr>
        <w:tc>
          <w:tcPr>
            <w:tcW w:w="5200" w:type="dxa"/>
            <w:gridSpan w:val="2"/>
            <w:vAlign w:val="center"/>
            <w:hideMark/>
          </w:tcPr>
          <w:p w14:paraId="60EFB601" w14:textId="77777777" w:rsidR="0026341C" w:rsidRPr="00AD1F33" w:rsidRDefault="0026341C" w:rsidP="00502A7C">
            <w:pPr>
              <w:spacing w:after="160" w:line="259" w:lineRule="auto"/>
              <w:rPr>
                <w:rFonts w:ascii="Arial" w:hAnsi="Arial" w:cs="Arial"/>
              </w:rPr>
            </w:pPr>
            <w:r w:rsidRPr="00AD1F33">
              <w:rPr>
                <w:rFonts w:ascii="Arial" w:hAnsi="Arial" w:cs="Arial"/>
              </w:rPr>
              <w:t>UK 2: Aufrechterhaltung der Versorgungsleistungen bei langen Trassen</w:t>
            </w:r>
          </w:p>
        </w:tc>
        <w:tc>
          <w:tcPr>
            <w:tcW w:w="1671" w:type="dxa"/>
            <w:vAlign w:val="center"/>
            <w:hideMark/>
          </w:tcPr>
          <w:p w14:paraId="672625FE" w14:textId="299B3E40" w:rsidR="0026341C" w:rsidRPr="00AD1F33" w:rsidRDefault="00A53BF5" w:rsidP="0026341C">
            <w:pPr>
              <w:spacing w:after="160" w:line="259" w:lineRule="auto"/>
              <w:jc w:val="center"/>
              <w:rPr>
                <w:rFonts w:ascii="Arial" w:hAnsi="Arial" w:cs="Arial"/>
              </w:rPr>
            </w:pPr>
            <w:r w:rsidRPr="00AD1F33">
              <w:rPr>
                <w:rFonts w:ascii="Arial" w:hAnsi="Arial" w:cs="Arial"/>
              </w:rPr>
              <w:t>5</w:t>
            </w:r>
          </w:p>
        </w:tc>
        <w:tc>
          <w:tcPr>
            <w:tcW w:w="1514" w:type="dxa"/>
            <w:vAlign w:val="center"/>
            <w:hideMark/>
          </w:tcPr>
          <w:p w14:paraId="3D8C751D" w14:textId="77777777" w:rsidR="0026341C" w:rsidRPr="00AD1F33" w:rsidRDefault="0026341C" w:rsidP="0026341C">
            <w:pPr>
              <w:spacing w:after="160" w:line="259" w:lineRule="auto"/>
              <w:jc w:val="center"/>
              <w:rPr>
                <w:rFonts w:ascii="Arial" w:hAnsi="Arial" w:cs="Arial"/>
              </w:rPr>
            </w:pPr>
            <w:r w:rsidRPr="00AD1F33">
              <w:rPr>
                <w:rFonts w:ascii="Arial" w:hAnsi="Arial" w:cs="Arial"/>
              </w:rPr>
              <w:t>20</w:t>
            </w:r>
          </w:p>
        </w:tc>
      </w:tr>
      <w:tr w:rsidR="0026341C" w:rsidRPr="00AD1F33" w14:paraId="58884B63" w14:textId="77777777" w:rsidTr="0026341C">
        <w:trPr>
          <w:tblCellSpacing w:w="15" w:type="dxa"/>
        </w:trPr>
        <w:tc>
          <w:tcPr>
            <w:tcW w:w="5200" w:type="dxa"/>
            <w:gridSpan w:val="2"/>
            <w:vAlign w:val="center"/>
            <w:hideMark/>
          </w:tcPr>
          <w:p w14:paraId="4D6107B4" w14:textId="77777777" w:rsidR="0026341C" w:rsidRPr="00AD1F33" w:rsidRDefault="0026341C" w:rsidP="00502A7C">
            <w:pPr>
              <w:spacing w:after="160" w:line="259" w:lineRule="auto"/>
              <w:rPr>
                <w:rFonts w:ascii="Arial" w:hAnsi="Arial" w:cs="Arial"/>
              </w:rPr>
            </w:pPr>
            <w:r w:rsidRPr="00AD1F33">
              <w:rPr>
                <w:rFonts w:ascii="Arial" w:hAnsi="Arial" w:cs="Arial"/>
              </w:rPr>
              <w:t>UK 3: Umgang mit schwierigem Baugrund</w:t>
            </w:r>
          </w:p>
        </w:tc>
        <w:tc>
          <w:tcPr>
            <w:tcW w:w="1671" w:type="dxa"/>
            <w:vAlign w:val="center"/>
            <w:hideMark/>
          </w:tcPr>
          <w:p w14:paraId="1E716187" w14:textId="77777777" w:rsidR="0026341C" w:rsidRPr="00AD1F33" w:rsidRDefault="0026341C" w:rsidP="0026341C">
            <w:pPr>
              <w:spacing w:after="160" w:line="259" w:lineRule="auto"/>
              <w:jc w:val="center"/>
              <w:rPr>
                <w:rFonts w:ascii="Arial" w:hAnsi="Arial" w:cs="Arial"/>
              </w:rPr>
            </w:pPr>
            <w:r w:rsidRPr="00AD1F33">
              <w:rPr>
                <w:rFonts w:ascii="Arial" w:hAnsi="Arial" w:cs="Arial"/>
              </w:rPr>
              <w:t>4</w:t>
            </w:r>
          </w:p>
        </w:tc>
        <w:tc>
          <w:tcPr>
            <w:tcW w:w="1514" w:type="dxa"/>
            <w:vAlign w:val="center"/>
            <w:hideMark/>
          </w:tcPr>
          <w:p w14:paraId="7EB74969" w14:textId="77777777" w:rsidR="0026341C" w:rsidRPr="00AD1F33" w:rsidRDefault="0026341C" w:rsidP="0026341C">
            <w:pPr>
              <w:spacing w:after="160" w:line="259" w:lineRule="auto"/>
              <w:jc w:val="center"/>
              <w:rPr>
                <w:rFonts w:ascii="Arial" w:hAnsi="Arial" w:cs="Arial"/>
              </w:rPr>
            </w:pPr>
            <w:r w:rsidRPr="00AD1F33">
              <w:rPr>
                <w:rFonts w:ascii="Arial" w:hAnsi="Arial" w:cs="Arial"/>
              </w:rPr>
              <w:t>20</w:t>
            </w:r>
          </w:p>
        </w:tc>
      </w:tr>
      <w:tr w:rsidR="0026341C" w:rsidRPr="00AD1F33" w14:paraId="64F98301" w14:textId="77777777" w:rsidTr="0026341C">
        <w:trPr>
          <w:tblCellSpacing w:w="15" w:type="dxa"/>
        </w:trPr>
        <w:tc>
          <w:tcPr>
            <w:tcW w:w="5200" w:type="dxa"/>
            <w:gridSpan w:val="2"/>
            <w:vAlign w:val="center"/>
            <w:hideMark/>
          </w:tcPr>
          <w:p w14:paraId="7FC0F3BF" w14:textId="194CD9C5" w:rsidR="0026341C" w:rsidRPr="00AD1F33" w:rsidRDefault="00AB1BC0" w:rsidP="00502A7C">
            <w:pPr>
              <w:spacing w:after="160" w:line="259" w:lineRule="auto"/>
              <w:rPr>
                <w:rFonts w:ascii="Arial" w:hAnsi="Arial" w:cs="Arial"/>
              </w:rPr>
            </w:pPr>
            <w:r w:rsidRPr="00AD1F33">
              <w:rPr>
                <w:rFonts w:ascii="Arial" w:hAnsi="Arial" w:cs="Arial"/>
              </w:rPr>
              <w:t xml:space="preserve">UK 4: Stakeholder- und Behördenmanagement </w:t>
            </w:r>
          </w:p>
        </w:tc>
        <w:tc>
          <w:tcPr>
            <w:tcW w:w="1671" w:type="dxa"/>
            <w:vAlign w:val="center"/>
            <w:hideMark/>
          </w:tcPr>
          <w:p w14:paraId="2853DDF9" w14:textId="77777777" w:rsidR="0026341C" w:rsidRPr="00AD1F33" w:rsidRDefault="0026341C" w:rsidP="0026341C">
            <w:pPr>
              <w:spacing w:after="160" w:line="259" w:lineRule="auto"/>
              <w:jc w:val="center"/>
              <w:rPr>
                <w:rFonts w:ascii="Arial" w:hAnsi="Arial" w:cs="Arial"/>
              </w:rPr>
            </w:pPr>
            <w:r w:rsidRPr="00AD1F33">
              <w:rPr>
                <w:rFonts w:ascii="Arial" w:hAnsi="Arial" w:cs="Arial"/>
              </w:rPr>
              <w:t>3</w:t>
            </w:r>
          </w:p>
        </w:tc>
        <w:tc>
          <w:tcPr>
            <w:tcW w:w="1514" w:type="dxa"/>
            <w:vAlign w:val="center"/>
            <w:hideMark/>
          </w:tcPr>
          <w:p w14:paraId="34776F67" w14:textId="77777777" w:rsidR="0026341C" w:rsidRPr="00AD1F33" w:rsidRDefault="0026341C" w:rsidP="0026341C">
            <w:pPr>
              <w:spacing w:after="160" w:line="259" w:lineRule="auto"/>
              <w:jc w:val="center"/>
              <w:rPr>
                <w:rFonts w:ascii="Arial" w:hAnsi="Arial" w:cs="Arial"/>
              </w:rPr>
            </w:pPr>
            <w:r w:rsidRPr="00AD1F33">
              <w:rPr>
                <w:rFonts w:ascii="Arial" w:hAnsi="Arial" w:cs="Arial"/>
              </w:rPr>
              <w:t>15</w:t>
            </w:r>
          </w:p>
        </w:tc>
      </w:tr>
      <w:tr w:rsidR="0026341C" w:rsidRPr="00AD1F33" w14:paraId="1D7FEB3B" w14:textId="77777777" w:rsidTr="0026341C">
        <w:trPr>
          <w:tblCellSpacing w:w="15" w:type="dxa"/>
        </w:trPr>
        <w:tc>
          <w:tcPr>
            <w:tcW w:w="5200" w:type="dxa"/>
            <w:gridSpan w:val="2"/>
            <w:vAlign w:val="center"/>
            <w:hideMark/>
          </w:tcPr>
          <w:p w14:paraId="5323AD3B" w14:textId="77777777" w:rsidR="0026341C" w:rsidRPr="00AD1F33" w:rsidRDefault="0026341C" w:rsidP="00502A7C">
            <w:pPr>
              <w:spacing w:after="160" w:line="259" w:lineRule="auto"/>
              <w:rPr>
                <w:rFonts w:ascii="Arial" w:hAnsi="Arial" w:cs="Arial"/>
              </w:rPr>
            </w:pPr>
            <w:r w:rsidRPr="00AD1F33">
              <w:rPr>
                <w:rFonts w:ascii="Arial" w:hAnsi="Arial" w:cs="Arial"/>
              </w:rPr>
              <w:t>UK 5: Einordnung eigener Referenzerfahrungen</w:t>
            </w:r>
          </w:p>
        </w:tc>
        <w:tc>
          <w:tcPr>
            <w:tcW w:w="1671" w:type="dxa"/>
            <w:vAlign w:val="center"/>
            <w:hideMark/>
          </w:tcPr>
          <w:p w14:paraId="1AB9918B" w14:textId="4CB60C6C" w:rsidR="0026341C" w:rsidRPr="00AD1F33" w:rsidRDefault="00A53BF5" w:rsidP="0026341C">
            <w:pPr>
              <w:spacing w:after="160" w:line="259" w:lineRule="auto"/>
              <w:jc w:val="center"/>
              <w:rPr>
                <w:rFonts w:ascii="Arial" w:hAnsi="Arial" w:cs="Arial"/>
              </w:rPr>
            </w:pPr>
            <w:r w:rsidRPr="00AD1F33">
              <w:rPr>
                <w:rFonts w:ascii="Arial" w:hAnsi="Arial" w:cs="Arial"/>
              </w:rPr>
              <w:t>4</w:t>
            </w:r>
          </w:p>
        </w:tc>
        <w:tc>
          <w:tcPr>
            <w:tcW w:w="1514" w:type="dxa"/>
            <w:vAlign w:val="center"/>
            <w:hideMark/>
          </w:tcPr>
          <w:p w14:paraId="5C11448E" w14:textId="77777777" w:rsidR="0026341C" w:rsidRPr="00AD1F33" w:rsidRDefault="0026341C" w:rsidP="0026341C">
            <w:pPr>
              <w:spacing w:after="160" w:line="259" w:lineRule="auto"/>
              <w:jc w:val="center"/>
              <w:rPr>
                <w:rFonts w:ascii="Arial" w:hAnsi="Arial" w:cs="Arial"/>
              </w:rPr>
            </w:pPr>
            <w:r w:rsidRPr="00AD1F33">
              <w:rPr>
                <w:rFonts w:ascii="Arial" w:hAnsi="Arial" w:cs="Arial"/>
              </w:rPr>
              <w:t>25</w:t>
            </w:r>
          </w:p>
        </w:tc>
      </w:tr>
      <w:tr w:rsidR="0026341C" w:rsidRPr="00AD1F33" w14:paraId="49853810" w14:textId="77777777" w:rsidTr="0026341C">
        <w:trPr>
          <w:tblCellSpacing w:w="15" w:type="dxa"/>
        </w:trPr>
        <w:tc>
          <w:tcPr>
            <w:tcW w:w="5200" w:type="dxa"/>
            <w:gridSpan w:val="2"/>
            <w:vAlign w:val="center"/>
            <w:hideMark/>
          </w:tcPr>
          <w:p w14:paraId="4F7002A3" w14:textId="77777777" w:rsidR="0026341C" w:rsidRPr="00AD1F33" w:rsidRDefault="0026341C" w:rsidP="00502A7C">
            <w:pPr>
              <w:spacing w:after="160" w:line="259" w:lineRule="auto"/>
              <w:rPr>
                <w:rFonts w:ascii="Arial" w:hAnsi="Arial" w:cs="Arial"/>
              </w:rPr>
            </w:pPr>
            <w:r w:rsidRPr="00AD1F33">
              <w:rPr>
                <w:rFonts w:ascii="Arial" w:hAnsi="Arial" w:cs="Arial"/>
                <w:b/>
                <w:bCs/>
              </w:rPr>
              <w:t>Gesamt</w:t>
            </w:r>
          </w:p>
        </w:tc>
        <w:tc>
          <w:tcPr>
            <w:tcW w:w="1671" w:type="dxa"/>
            <w:vAlign w:val="center"/>
            <w:hideMark/>
          </w:tcPr>
          <w:p w14:paraId="1721F6A4" w14:textId="77777777" w:rsidR="0026341C" w:rsidRPr="00AD1F33" w:rsidRDefault="0026341C" w:rsidP="0026341C">
            <w:pPr>
              <w:spacing w:after="160" w:line="259" w:lineRule="auto"/>
              <w:jc w:val="center"/>
              <w:rPr>
                <w:rFonts w:ascii="Arial" w:hAnsi="Arial" w:cs="Arial"/>
              </w:rPr>
            </w:pPr>
          </w:p>
        </w:tc>
        <w:tc>
          <w:tcPr>
            <w:tcW w:w="1514" w:type="dxa"/>
            <w:vAlign w:val="center"/>
            <w:hideMark/>
          </w:tcPr>
          <w:p w14:paraId="0CFFB9BD" w14:textId="77777777" w:rsidR="0026341C" w:rsidRPr="00AD1F33" w:rsidRDefault="0026341C" w:rsidP="0026341C">
            <w:pPr>
              <w:spacing w:after="160" w:line="259" w:lineRule="auto"/>
              <w:jc w:val="center"/>
              <w:rPr>
                <w:rFonts w:ascii="Arial" w:hAnsi="Arial" w:cs="Arial"/>
              </w:rPr>
            </w:pPr>
            <w:r w:rsidRPr="00AD1F33">
              <w:rPr>
                <w:rFonts w:ascii="Arial" w:hAnsi="Arial" w:cs="Arial"/>
                <w:b/>
                <w:bCs/>
              </w:rPr>
              <w:t>100</w:t>
            </w:r>
          </w:p>
        </w:tc>
      </w:tr>
    </w:tbl>
    <w:p w14:paraId="52BC406E" w14:textId="77777777" w:rsidR="007C112F" w:rsidRPr="00AD1F33" w:rsidRDefault="007C112F" w:rsidP="007C112F">
      <w:pPr>
        <w:spacing w:before="120" w:after="120" w:line="360" w:lineRule="auto"/>
        <w:ind w:left="567"/>
        <w:rPr>
          <w:rFonts w:ascii="Arial" w:eastAsia="Calibri" w:hAnsi="Arial" w:cs="Arial"/>
          <w:szCs w:val="24"/>
        </w:rPr>
      </w:pPr>
      <w:r w:rsidRPr="00AD1F33">
        <w:rPr>
          <w:rFonts w:ascii="Arial" w:eastAsia="Calibri" w:hAnsi="Arial" w:cs="Arial"/>
          <w:szCs w:val="24"/>
        </w:rPr>
        <w:lastRenderedPageBreak/>
        <w:t>Erreicht ein Angebot bei einem einzelnen Unterkriterium 0 Punkte (ungenügend) oder bei mindestens zwei Unterkriterien jeweils nur 1 Punkt (mangelhaft), wird es von der weiteren Wertung ausgeschlossen.</w:t>
      </w:r>
    </w:p>
    <w:p w14:paraId="6A51F751" w14:textId="77777777" w:rsidR="00433452" w:rsidRPr="00AD1F33" w:rsidRDefault="00433452" w:rsidP="00A53BF5">
      <w:pPr>
        <w:keepNext/>
        <w:spacing w:before="120" w:after="120" w:line="360" w:lineRule="auto"/>
        <w:ind w:left="567"/>
        <w:rPr>
          <w:rFonts w:ascii="Arial" w:eastAsia="Calibri" w:hAnsi="Arial" w:cs="Arial"/>
          <w:b/>
          <w:szCs w:val="24"/>
        </w:rPr>
      </w:pPr>
      <w:r w:rsidRPr="00AD1F33">
        <w:rPr>
          <w:rFonts w:ascii="Arial" w:eastAsia="Calibri" w:hAnsi="Arial" w:cs="Arial"/>
          <w:b/>
          <w:szCs w:val="24"/>
        </w:rPr>
        <w:t>UK 1: Herangehensweise bei komplexen Planungsleistungen mit umwelt- und wasserrechtlicher Relevanz sowie sicherheitsrelevanten Anforderungen (Gewichtungsfaktor: 4)</w:t>
      </w:r>
    </w:p>
    <w:p w14:paraId="6589CA65" w14:textId="49A896B0" w:rsidR="00433452" w:rsidRPr="00AD1F33" w:rsidRDefault="00433452" w:rsidP="00566184">
      <w:pPr>
        <w:spacing w:before="120" w:after="120" w:line="360" w:lineRule="auto"/>
        <w:ind w:left="567"/>
        <w:rPr>
          <w:rFonts w:ascii="Arial" w:eastAsia="Calibri" w:hAnsi="Arial" w:cs="Arial"/>
          <w:szCs w:val="24"/>
        </w:rPr>
      </w:pPr>
      <w:r w:rsidRPr="00AD1F33">
        <w:rPr>
          <w:rFonts w:ascii="Arial" w:eastAsia="Calibri" w:hAnsi="Arial" w:cs="Arial"/>
          <w:szCs w:val="24"/>
        </w:rPr>
        <w:t xml:space="preserve">Die Planung der Sicherung der Medienleitungen im Rekultivierungsbereich des ehemaligen Tagebaus Brigitta ist durch eine Vielzahl rechtlicher und technischer Anforderungen geprägt, die von Beginn der Planung an konsequent in das Planungskonzept integriert werden müssen. Die Planung muss insbesondere bergrechtlich genehmigungsfähig sein (§ 52 BBergG), umwelt- und wasserrechtliche Anforderungen erfüllen </w:t>
      </w:r>
      <w:proofErr w:type="gramStart"/>
      <w:r w:rsidRPr="00AD1F33">
        <w:rPr>
          <w:rFonts w:ascii="Arial" w:eastAsia="Calibri" w:hAnsi="Arial" w:cs="Arial"/>
          <w:szCs w:val="24"/>
        </w:rPr>
        <w:t xml:space="preserve">( </w:t>
      </w:r>
      <w:proofErr w:type="spellStart"/>
      <w:r w:rsidRPr="00AD1F33">
        <w:rPr>
          <w:rFonts w:ascii="Arial" w:eastAsia="Calibri" w:hAnsi="Arial" w:cs="Arial"/>
          <w:szCs w:val="24"/>
        </w:rPr>
        <w:t>SächsWG</w:t>
      </w:r>
      <w:proofErr w:type="spellEnd"/>
      <w:proofErr w:type="gramEnd"/>
      <w:r w:rsidRPr="00AD1F33">
        <w:rPr>
          <w:rFonts w:ascii="Arial" w:eastAsia="Calibri" w:hAnsi="Arial" w:cs="Arial"/>
          <w:szCs w:val="24"/>
        </w:rPr>
        <w:t>, ggf. UVPG), geotechnische Risiken dauerhaft beherrschen und mit der künftigen Nachnutzung der Flächen kompatibel sein. Hinzu kommen die einschlägigen technischen Regelwerke (DVGW, AGFW, DIN), die bei der Planung von Medienleitungen im Bestand und im Neubau zu beachten sind.</w:t>
      </w:r>
    </w:p>
    <w:p w14:paraId="72267B13" w14:textId="77777777" w:rsidR="00433452" w:rsidRPr="00AD1F33" w:rsidRDefault="00433452" w:rsidP="00566184">
      <w:pPr>
        <w:spacing w:before="120" w:after="120" w:line="360" w:lineRule="auto"/>
        <w:ind w:left="567"/>
        <w:rPr>
          <w:rFonts w:ascii="Arial" w:eastAsia="Calibri" w:hAnsi="Arial" w:cs="Arial"/>
          <w:szCs w:val="24"/>
        </w:rPr>
      </w:pPr>
      <w:r w:rsidRPr="00AD1F33">
        <w:rPr>
          <w:rFonts w:ascii="Arial" w:eastAsia="Calibri" w:hAnsi="Arial" w:cs="Arial"/>
          <w:szCs w:val="24"/>
        </w:rPr>
        <w:t>Der Bieter hat darzustellen, wie er eine strukturierte, interdisziplinäre Herangehensweise sicherstellt, um die Genehmigungsfähigkeit, Projektsicherheit und Regelwerkskonformität seiner Planung zu gewährleisten. Konkret erwartet die Auftraggeberin Ausführungen dazu, wie der Bieter die fachliche, organisatorische und rechtlich sichere Umsetzung des Projekts plant und wie er den genannten Kernanforderungen von Beginn an – d.h. bereits in den Leistungsphasen 1 und 2 – gerecht werden will.</w:t>
      </w:r>
    </w:p>
    <w:p w14:paraId="494C87CE" w14:textId="7165F72F" w:rsidR="00433452" w:rsidRPr="00AD1F33" w:rsidRDefault="00433452" w:rsidP="00566184">
      <w:pPr>
        <w:spacing w:before="120" w:after="120" w:line="360" w:lineRule="auto"/>
        <w:ind w:left="567"/>
        <w:rPr>
          <w:rFonts w:ascii="Arial" w:eastAsia="Calibri" w:hAnsi="Arial" w:cs="Arial"/>
          <w:szCs w:val="24"/>
        </w:rPr>
      </w:pPr>
      <w:r w:rsidRPr="00AD1F33">
        <w:rPr>
          <w:rFonts w:ascii="Arial" w:eastAsia="Calibri" w:hAnsi="Arial" w:cs="Arial"/>
          <w:szCs w:val="24"/>
        </w:rPr>
        <w:t>Ein überzeugendes Konzept zeigt insbesondere auf, wie die relevanten Anforderungen des Berg-, Umwelt- und Wasserrechts nicht erst bei der Genehmigungsplanung (LP 4), sondern bereits bei der Trassenfindung und Variantenplanung als Planungsparameter berücksichtigt werden, und stellt dar, wie der Bieter die Interdisziplinarität der Aufgabe – insbesondere das Zusammenspiel von Planung, Geotechnik, Recht und Behördenabstimmung</w:t>
      </w:r>
      <w:r w:rsidR="00205C37" w:rsidRPr="00AD1F33">
        <w:rPr>
          <w:rFonts w:ascii="Arial" w:eastAsia="Calibri" w:hAnsi="Arial" w:cs="Arial"/>
          <w:szCs w:val="24"/>
        </w:rPr>
        <w:t>, Einbindung der LMBV</w:t>
      </w:r>
      <w:r w:rsidRPr="00AD1F33">
        <w:rPr>
          <w:rFonts w:ascii="Arial" w:eastAsia="Calibri" w:hAnsi="Arial" w:cs="Arial"/>
          <w:szCs w:val="24"/>
        </w:rPr>
        <w:t xml:space="preserve"> – organisatorisch sicherstellt.</w:t>
      </w:r>
    </w:p>
    <w:p w14:paraId="4DBAFC31" w14:textId="488EDE13" w:rsidR="00B13D3F" w:rsidRPr="00AD1F33" w:rsidRDefault="00B13D3F" w:rsidP="00AD1F33">
      <w:pPr>
        <w:keepNext/>
        <w:spacing w:before="120" w:after="120" w:line="360" w:lineRule="auto"/>
        <w:ind w:left="567"/>
        <w:rPr>
          <w:rFonts w:ascii="Arial" w:eastAsia="Calibri" w:hAnsi="Arial" w:cs="Arial"/>
          <w:b/>
          <w:szCs w:val="24"/>
        </w:rPr>
      </w:pPr>
      <w:r w:rsidRPr="00AD1F33">
        <w:rPr>
          <w:rFonts w:ascii="Arial" w:eastAsia="Calibri" w:hAnsi="Arial" w:cs="Arial"/>
          <w:b/>
          <w:szCs w:val="24"/>
        </w:rPr>
        <w:lastRenderedPageBreak/>
        <w:t xml:space="preserve">UK 2: Konzept zur Aufrechterhaltung der Versorgungsleistungen mit Fernwärme (Objekt 1) und Trinkwasser (Objekt 2) bei langen Trassen während der Bauphase (Gewichtungsfaktor: </w:t>
      </w:r>
      <w:r w:rsidR="00A53BF5" w:rsidRPr="00AD1F33">
        <w:rPr>
          <w:rFonts w:ascii="Arial" w:eastAsia="Calibri" w:hAnsi="Arial" w:cs="Arial"/>
          <w:b/>
          <w:szCs w:val="24"/>
        </w:rPr>
        <w:t>5</w:t>
      </w:r>
      <w:r w:rsidRPr="00AD1F33">
        <w:rPr>
          <w:rFonts w:ascii="Arial" w:eastAsia="Calibri" w:hAnsi="Arial" w:cs="Arial"/>
          <w:b/>
          <w:szCs w:val="24"/>
        </w:rPr>
        <w:t>)</w:t>
      </w:r>
    </w:p>
    <w:p w14:paraId="1969C523" w14:textId="77777777" w:rsidR="00B13D3F" w:rsidRPr="00AD1F33" w:rsidRDefault="00B13D3F" w:rsidP="00566184">
      <w:pPr>
        <w:spacing w:before="120" w:after="120" w:line="360" w:lineRule="auto"/>
        <w:ind w:left="567"/>
        <w:rPr>
          <w:rFonts w:ascii="Arial" w:eastAsia="Calibri" w:hAnsi="Arial" w:cs="Arial"/>
          <w:szCs w:val="24"/>
        </w:rPr>
      </w:pPr>
      <w:r w:rsidRPr="00AD1F33">
        <w:rPr>
          <w:rFonts w:ascii="Arial" w:eastAsia="Calibri" w:hAnsi="Arial" w:cs="Arial"/>
          <w:szCs w:val="24"/>
        </w:rPr>
        <w:t>Beide Medienleitungen können für die Dauer der bergbaulichen Sanierungsmaßnahmen nicht außer Betrieb genommen werden. Die planerische Herausforderung besteht darin, Lösungsansätze zu erarbeiten, die die kontinuierliche Versorgung mit Fernwärme und Trinkwasser über Trassenabschnitte von ca. 4.500 m (Fernwärme) bzw. ca. 3.000 m (Trinkwasser) während der gesamten Bauphase sicherstellen. Besondere Anforderungen ergeben sich aus der Heizperiodenbindung der Fernwärmeversorgung sowie der Notwendigkeit, die Trinkwasserversorgung der Ortsnetze Burgneudorf und Burghammer der Gemeinde Spreetal unterbrechungsfrei aufrechtzuerhalten.</w:t>
      </w:r>
    </w:p>
    <w:p w14:paraId="09BC8152" w14:textId="77777777" w:rsidR="00B13D3F" w:rsidRPr="00AD1F33" w:rsidRDefault="00B13D3F" w:rsidP="00566184">
      <w:pPr>
        <w:spacing w:before="120" w:after="120" w:line="360" w:lineRule="auto"/>
        <w:ind w:left="567"/>
        <w:rPr>
          <w:rFonts w:ascii="Arial" w:eastAsia="Calibri" w:hAnsi="Arial" w:cs="Arial"/>
          <w:szCs w:val="24"/>
        </w:rPr>
      </w:pPr>
      <w:r w:rsidRPr="00AD1F33">
        <w:rPr>
          <w:rFonts w:ascii="Arial" w:eastAsia="Calibri" w:hAnsi="Arial" w:cs="Arial"/>
          <w:szCs w:val="24"/>
        </w:rPr>
        <w:t>Der Bieter hat Lösungsansätze zu beschreiben, wie er die Funktion beider Objekte während der Baumaßnahmen absichert. Erwartet werden Aussagen zur Sicherstellung der kontinuierlichen Versorgung, zur Minimierung von Versorgungsunterbrechungen, zur Einhaltung gesetzlicher Vorgaben und technischer Regelwerke sowie zur Berücksichtigung saisonaler Einflüsse (insbesondere Heizperiode). Für die Trinkwasserleitung ist zusätzlich darzustellen, wie die Versorgung der zwischenliegenden Abnehmer in allen Bauzuständen gewährleistet wird.</w:t>
      </w:r>
    </w:p>
    <w:p w14:paraId="1FB9E3B5" w14:textId="77777777" w:rsidR="00B13D3F" w:rsidRPr="00AD1F33" w:rsidRDefault="00B13D3F" w:rsidP="00566184">
      <w:pPr>
        <w:spacing w:before="120" w:after="120" w:line="360" w:lineRule="auto"/>
        <w:ind w:left="567"/>
        <w:rPr>
          <w:rFonts w:ascii="Arial" w:eastAsia="Calibri" w:hAnsi="Arial" w:cs="Arial"/>
          <w:szCs w:val="24"/>
        </w:rPr>
      </w:pPr>
      <w:r w:rsidRPr="00AD1F33">
        <w:rPr>
          <w:rFonts w:ascii="Arial" w:eastAsia="Calibri" w:hAnsi="Arial" w:cs="Arial"/>
          <w:szCs w:val="24"/>
        </w:rPr>
        <w:t>Ein überzeugendes Konzept stellt insbesondere dar, wie die Abhängigkeiten zwischen Bauablauf, Provisorien und laufendem Versorgungsbetrieb vorausschauend geplant werden und nicht erst im Konfliktfall geregelt sind, und zeigt auf, dass der Bieter die unterschiedlichen Anforderungen an Fernwärme und Trinkwasser als eigenständige Planungsaufgaben mit jeweils spezifischen Lösungsansätzen begreift.</w:t>
      </w:r>
    </w:p>
    <w:p w14:paraId="1DC44ED4" w14:textId="77777777" w:rsidR="00E80E6A" w:rsidRPr="00AD1F33" w:rsidRDefault="00E80E6A" w:rsidP="00566184">
      <w:pPr>
        <w:spacing w:before="120" w:after="120" w:line="360" w:lineRule="auto"/>
        <w:ind w:left="567"/>
        <w:rPr>
          <w:rFonts w:ascii="Arial" w:eastAsia="Calibri" w:hAnsi="Arial" w:cs="Arial"/>
          <w:b/>
          <w:szCs w:val="24"/>
        </w:rPr>
      </w:pPr>
      <w:r w:rsidRPr="00AD1F33">
        <w:rPr>
          <w:rFonts w:ascii="Arial" w:eastAsia="Calibri" w:hAnsi="Arial" w:cs="Arial"/>
          <w:b/>
          <w:szCs w:val="24"/>
        </w:rPr>
        <w:t>UK 3: Herangehensweise und Umgang mit schwierigem Baugrund (Gewichtungsfaktor: 4)</w:t>
      </w:r>
    </w:p>
    <w:p w14:paraId="0F10CE45" w14:textId="77777777" w:rsidR="00E80E6A" w:rsidRPr="00AD1F33" w:rsidRDefault="00E80E6A" w:rsidP="00566184">
      <w:pPr>
        <w:spacing w:before="120" w:after="120" w:line="360" w:lineRule="auto"/>
        <w:ind w:left="567"/>
        <w:rPr>
          <w:rFonts w:ascii="Arial" w:eastAsia="Calibri" w:hAnsi="Arial" w:cs="Arial"/>
          <w:szCs w:val="24"/>
        </w:rPr>
      </w:pPr>
      <w:r w:rsidRPr="00AD1F33">
        <w:rPr>
          <w:rFonts w:ascii="Arial" w:eastAsia="Calibri" w:hAnsi="Arial" w:cs="Arial"/>
          <w:szCs w:val="24"/>
        </w:rPr>
        <w:t xml:space="preserve">Das Planungsgebiet liegt im Bereich der </w:t>
      </w:r>
      <w:proofErr w:type="spellStart"/>
      <w:r w:rsidRPr="00AD1F33">
        <w:rPr>
          <w:rFonts w:ascii="Arial" w:eastAsia="Calibri" w:hAnsi="Arial" w:cs="Arial"/>
          <w:szCs w:val="24"/>
        </w:rPr>
        <w:t>Kippenmassen</w:t>
      </w:r>
      <w:proofErr w:type="spellEnd"/>
      <w:r w:rsidRPr="00AD1F33">
        <w:rPr>
          <w:rFonts w:ascii="Arial" w:eastAsia="Calibri" w:hAnsi="Arial" w:cs="Arial"/>
          <w:szCs w:val="24"/>
        </w:rPr>
        <w:t xml:space="preserve"> des ehemaligen Tagebaus Brigitta. Das wassergesättigte, verflüssigungsgefährdete </w:t>
      </w:r>
      <w:proofErr w:type="spellStart"/>
      <w:r w:rsidRPr="00AD1F33">
        <w:rPr>
          <w:rFonts w:ascii="Arial" w:eastAsia="Calibri" w:hAnsi="Arial" w:cs="Arial"/>
          <w:szCs w:val="24"/>
        </w:rPr>
        <w:t>Kippenmaterial</w:t>
      </w:r>
      <w:proofErr w:type="spellEnd"/>
      <w:r w:rsidRPr="00AD1F33">
        <w:rPr>
          <w:rFonts w:ascii="Arial" w:eastAsia="Calibri" w:hAnsi="Arial" w:cs="Arial"/>
          <w:szCs w:val="24"/>
        </w:rPr>
        <w:t xml:space="preserve"> stellt für die Planung von Medienleitungen besondere geotechnische Anforderungen, da ausreichende Grundwasserflurabstände und Grundbruchsicherheiten nur in Teilbereichen nachgewiesen werden können. Geotechnische Risiken müssen früh erkannt, systematisch bewertet und technisch sowie organisatorisch beherrscht werden; sie sind als integraler Bestandteil des Planungsprozesses – und nicht als nachgelagerte Fachfrage – zu behandeln.</w:t>
      </w:r>
    </w:p>
    <w:p w14:paraId="12C5E9D6" w14:textId="77777777" w:rsidR="00E80E6A" w:rsidRPr="00AD1F33" w:rsidRDefault="00E80E6A" w:rsidP="00566184">
      <w:pPr>
        <w:spacing w:before="120" w:after="120" w:line="360" w:lineRule="auto"/>
        <w:ind w:left="567"/>
        <w:rPr>
          <w:rFonts w:ascii="Arial" w:eastAsia="Calibri" w:hAnsi="Arial" w:cs="Arial"/>
          <w:szCs w:val="24"/>
        </w:rPr>
      </w:pPr>
      <w:r w:rsidRPr="00AD1F33">
        <w:rPr>
          <w:rFonts w:ascii="Arial" w:eastAsia="Calibri" w:hAnsi="Arial" w:cs="Arial"/>
          <w:szCs w:val="24"/>
        </w:rPr>
        <w:lastRenderedPageBreak/>
        <w:t>Der Bieter hat darzustellen, wie er geotechnische Risiken im Planungsprozess einordnet und steuert. Erwartet wird kein „Lehrbuchwissen", sondern die Darstellung eines klar strukturierten, umsetzungsorientierten Vorgehens: wie geotechnische Erkenntnisse in die Trassenfindung einfließen, wie Baugrundrisiken bewertet und mit dem Auftraggeber sowie der LMBV kommuniziert werden und welche Konsequenzen sich hieraus für die Wahl der Sicherungslösung und der Bauweise ergeben.</w:t>
      </w:r>
    </w:p>
    <w:p w14:paraId="4DA87622" w14:textId="77777777" w:rsidR="00E80E6A" w:rsidRPr="00AD1F33" w:rsidRDefault="00E80E6A" w:rsidP="00566184">
      <w:pPr>
        <w:spacing w:before="120" w:after="120" w:line="360" w:lineRule="auto"/>
        <w:ind w:left="567"/>
        <w:rPr>
          <w:rFonts w:ascii="Arial" w:eastAsia="Calibri" w:hAnsi="Arial" w:cs="Arial"/>
          <w:szCs w:val="24"/>
        </w:rPr>
      </w:pPr>
      <w:r w:rsidRPr="00AD1F33">
        <w:rPr>
          <w:rFonts w:ascii="Arial" w:eastAsia="Calibri" w:hAnsi="Arial" w:cs="Arial"/>
          <w:szCs w:val="24"/>
        </w:rPr>
        <w:t>Ein überzeugendes Konzept stellt insbesondere dar, dass der Bieter den schwierigen Baugrund nicht als extern vorgegebene Randbedingung, sondern als zentralen Planungsparameter versteht, der bereits die Variantenplanung (LP 1–2) maßgeblich prägt, und zeigt auf, wie er bei neuen oder abweichenden geotechnischen Erkenntnissen im Planungsprozess agiert.</w:t>
      </w:r>
    </w:p>
    <w:p w14:paraId="75076CF9" w14:textId="77777777" w:rsidR="00E80E6A" w:rsidRPr="00AD1F33" w:rsidRDefault="00E80E6A" w:rsidP="00E80E6A">
      <w:pPr>
        <w:spacing w:before="120" w:after="120" w:line="360" w:lineRule="auto"/>
        <w:ind w:left="567"/>
        <w:rPr>
          <w:rFonts w:ascii="Arial" w:eastAsia="Calibri" w:hAnsi="Arial" w:cs="Arial"/>
          <w:b/>
          <w:szCs w:val="24"/>
        </w:rPr>
      </w:pPr>
      <w:r w:rsidRPr="00AD1F33">
        <w:rPr>
          <w:rFonts w:ascii="Arial" w:eastAsia="Calibri" w:hAnsi="Arial" w:cs="Arial"/>
          <w:b/>
          <w:szCs w:val="24"/>
        </w:rPr>
        <w:t>UK 4: Stakeholder- und Behördenmanagement (Gewichtungsfaktor: 3)</w:t>
      </w:r>
    </w:p>
    <w:p w14:paraId="3A942AD5" w14:textId="13DE1CE0" w:rsidR="00E80E6A" w:rsidRPr="00AD1F33" w:rsidRDefault="00E80E6A" w:rsidP="00E80E6A">
      <w:pPr>
        <w:spacing w:before="120" w:after="120" w:line="360" w:lineRule="auto"/>
        <w:ind w:left="567"/>
        <w:rPr>
          <w:rFonts w:ascii="Arial" w:eastAsia="Calibri" w:hAnsi="Arial" w:cs="Arial"/>
          <w:szCs w:val="24"/>
        </w:rPr>
      </w:pPr>
      <w:r w:rsidRPr="00AD1F33">
        <w:rPr>
          <w:rFonts w:ascii="Arial" w:eastAsia="Calibri" w:hAnsi="Arial" w:cs="Arial"/>
          <w:szCs w:val="24"/>
        </w:rPr>
        <w:t xml:space="preserve">Das Vorhaben ist durch eine strukturell komplexe </w:t>
      </w:r>
      <w:proofErr w:type="spellStart"/>
      <w:r w:rsidRPr="00AD1F33">
        <w:rPr>
          <w:rFonts w:ascii="Arial" w:eastAsia="Calibri" w:hAnsi="Arial" w:cs="Arial"/>
          <w:szCs w:val="24"/>
        </w:rPr>
        <w:t>Stakeholderlandschaft</w:t>
      </w:r>
      <w:proofErr w:type="spellEnd"/>
      <w:r w:rsidRPr="00AD1F33">
        <w:rPr>
          <w:rFonts w:ascii="Arial" w:eastAsia="Calibri" w:hAnsi="Arial" w:cs="Arial"/>
          <w:szCs w:val="24"/>
        </w:rPr>
        <w:t xml:space="preserve"> geprägt, die nicht erst im Genehmigungsverfahren, sondern bereits in den frühen Planungsphasen konsequent zu steuern ist. Die maßgeblichen Akteure umfassen insbesondere:</w:t>
      </w:r>
    </w:p>
    <w:p w14:paraId="613C032C" w14:textId="77777777" w:rsidR="00E80E6A" w:rsidRPr="00AD1F33" w:rsidRDefault="00E80E6A" w:rsidP="00E80E6A">
      <w:pPr>
        <w:numPr>
          <w:ilvl w:val="0"/>
          <w:numId w:val="28"/>
        </w:numPr>
        <w:tabs>
          <w:tab w:val="clear" w:pos="720"/>
        </w:tabs>
        <w:spacing w:before="120" w:after="120" w:line="360" w:lineRule="auto"/>
        <w:ind w:left="1134" w:hanging="567"/>
        <w:rPr>
          <w:rFonts w:ascii="Arial" w:eastAsia="Calibri" w:hAnsi="Arial" w:cs="Arial"/>
          <w:szCs w:val="24"/>
        </w:rPr>
      </w:pPr>
      <w:r w:rsidRPr="00AD1F33">
        <w:rPr>
          <w:rFonts w:ascii="Arial" w:eastAsia="Calibri" w:hAnsi="Arial" w:cs="Arial"/>
          <w:szCs w:val="24"/>
        </w:rPr>
        <w:t>die LMBV als Flächeneigentümerin und Trägerin der bergbaulichen Sanierungsmaßnahmen an der B97 und S130, deren Sanierungsregime, Planungsstandards und zeitliche Abläufe für die Trassenfindung und die Sicherungskonzepte der Medienleitungen unmittelbar maßgeblich sind,</w:t>
      </w:r>
    </w:p>
    <w:p w14:paraId="56528800" w14:textId="77777777" w:rsidR="00E80E6A" w:rsidRPr="00AD1F33" w:rsidRDefault="00E80E6A" w:rsidP="00E80E6A">
      <w:pPr>
        <w:numPr>
          <w:ilvl w:val="0"/>
          <w:numId w:val="28"/>
        </w:numPr>
        <w:tabs>
          <w:tab w:val="clear" w:pos="720"/>
        </w:tabs>
        <w:spacing w:before="120" w:after="120" w:line="360" w:lineRule="auto"/>
        <w:ind w:left="1134" w:hanging="567"/>
        <w:rPr>
          <w:rFonts w:ascii="Arial" w:eastAsia="Calibri" w:hAnsi="Arial" w:cs="Arial"/>
          <w:szCs w:val="24"/>
        </w:rPr>
      </w:pPr>
      <w:r w:rsidRPr="00AD1F33">
        <w:rPr>
          <w:rFonts w:ascii="Arial" w:eastAsia="Calibri" w:hAnsi="Arial" w:cs="Arial"/>
          <w:szCs w:val="24"/>
        </w:rPr>
        <w:t>die zuständige Bergbehörde im Genehmigungsverfahren nach § 52 BBergG,</w:t>
      </w:r>
    </w:p>
    <w:p w14:paraId="373839BF" w14:textId="22F6E74E" w:rsidR="00E80E6A" w:rsidRPr="00AD1F33" w:rsidRDefault="00E80E6A" w:rsidP="00E80E6A">
      <w:pPr>
        <w:numPr>
          <w:ilvl w:val="0"/>
          <w:numId w:val="28"/>
        </w:numPr>
        <w:tabs>
          <w:tab w:val="clear" w:pos="720"/>
        </w:tabs>
        <w:spacing w:before="120" w:after="120" w:line="360" w:lineRule="auto"/>
        <w:ind w:left="1134" w:hanging="567"/>
        <w:rPr>
          <w:rFonts w:ascii="Arial" w:eastAsia="Calibri" w:hAnsi="Arial" w:cs="Arial"/>
          <w:szCs w:val="24"/>
        </w:rPr>
      </w:pPr>
      <w:r w:rsidRPr="00AD1F33">
        <w:rPr>
          <w:rFonts w:ascii="Arial" w:eastAsia="Calibri" w:hAnsi="Arial" w:cs="Arial"/>
          <w:szCs w:val="24"/>
        </w:rPr>
        <w:t>die Wasserbehörde im Genehmigungsverfahren nach de</w:t>
      </w:r>
      <w:r w:rsidR="00205C37" w:rsidRPr="00AD1F33">
        <w:rPr>
          <w:rFonts w:ascii="Arial" w:eastAsia="Calibri" w:hAnsi="Arial" w:cs="Arial"/>
          <w:szCs w:val="24"/>
        </w:rPr>
        <w:t>m</w:t>
      </w:r>
      <w:r w:rsidRPr="00AD1F33">
        <w:rPr>
          <w:rFonts w:ascii="Arial" w:eastAsia="Calibri" w:hAnsi="Arial" w:cs="Arial"/>
          <w:szCs w:val="24"/>
        </w:rPr>
        <w:t xml:space="preserve"> Landeswasserrecht,</w:t>
      </w:r>
    </w:p>
    <w:p w14:paraId="030C34C0" w14:textId="77777777" w:rsidR="00E80E6A" w:rsidRPr="00AD1F33" w:rsidRDefault="00E80E6A" w:rsidP="00E80E6A">
      <w:pPr>
        <w:numPr>
          <w:ilvl w:val="0"/>
          <w:numId w:val="28"/>
        </w:numPr>
        <w:tabs>
          <w:tab w:val="clear" w:pos="720"/>
        </w:tabs>
        <w:spacing w:before="120" w:after="120" w:line="360" w:lineRule="auto"/>
        <w:ind w:left="1134" w:hanging="567"/>
        <w:rPr>
          <w:rFonts w:ascii="Arial" w:eastAsia="Calibri" w:hAnsi="Arial" w:cs="Arial"/>
          <w:szCs w:val="24"/>
        </w:rPr>
      </w:pPr>
      <w:r w:rsidRPr="00AD1F33">
        <w:rPr>
          <w:rFonts w:ascii="Arial" w:eastAsia="Calibri" w:hAnsi="Arial" w:cs="Arial"/>
          <w:szCs w:val="24"/>
        </w:rPr>
        <w:t>die Gemeinde Spreetal als Trägerin öffentlicher Belange und als Vertreterin der Interessen der an die Trinkwasserleitung angeschlossenen Ortslagen Burgneudorf und Burghammer,</w:t>
      </w:r>
    </w:p>
    <w:p w14:paraId="06504D7F" w14:textId="77777777" w:rsidR="00E80E6A" w:rsidRPr="00AD1F33" w:rsidRDefault="00E80E6A" w:rsidP="00E80E6A">
      <w:pPr>
        <w:numPr>
          <w:ilvl w:val="0"/>
          <w:numId w:val="28"/>
        </w:numPr>
        <w:tabs>
          <w:tab w:val="clear" w:pos="720"/>
        </w:tabs>
        <w:spacing w:before="120" w:after="120" w:line="360" w:lineRule="auto"/>
        <w:ind w:left="1134" w:hanging="567"/>
        <w:rPr>
          <w:rFonts w:ascii="Arial" w:eastAsia="Calibri" w:hAnsi="Arial" w:cs="Arial"/>
          <w:szCs w:val="24"/>
        </w:rPr>
      </w:pPr>
      <w:r w:rsidRPr="00AD1F33">
        <w:rPr>
          <w:rFonts w:ascii="Arial" w:eastAsia="Calibri" w:hAnsi="Arial" w:cs="Arial"/>
          <w:szCs w:val="24"/>
        </w:rPr>
        <w:t>die VBH als Auftraggeberin und Betreiberin beider Mediennetze sowie ggf. weitere Versorgungsträger im Fernwärmeverbund.</w:t>
      </w:r>
    </w:p>
    <w:p w14:paraId="51B9A6E7" w14:textId="77777777" w:rsidR="00E80E6A" w:rsidRPr="00AD1F33" w:rsidRDefault="00E80E6A" w:rsidP="00E80E6A">
      <w:pPr>
        <w:spacing w:before="120" w:after="120" w:line="360" w:lineRule="auto"/>
        <w:ind w:left="567"/>
        <w:rPr>
          <w:rFonts w:ascii="Arial" w:eastAsia="Calibri" w:hAnsi="Arial" w:cs="Arial"/>
          <w:szCs w:val="24"/>
        </w:rPr>
      </w:pPr>
      <w:r w:rsidRPr="00AD1F33">
        <w:rPr>
          <w:rFonts w:ascii="Arial" w:eastAsia="Calibri" w:hAnsi="Arial" w:cs="Arial"/>
          <w:szCs w:val="24"/>
        </w:rPr>
        <w:t>Der Bieter hat darzustellen, wie er diese Akteure frühzeitig und systematisch – d.h. nicht erst in der Genehmigungsplanung (LP 4), sondern bereits in den Leistungsphasen 1 und 2 – in den Planungsprozess einbindet. Erwartet werden konkrete Aussagen dazu:</w:t>
      </w:r>
    </w:p>
    <w:p w14:paraId="5A44CB5E" w14:textId="77777777" w:rsidR="00E80E6A" w:rsidRPr="00AD1F33" w:rsidRDefault="00E80E6A" w:rsidP="00E80E6A">
      <w:pPr>
        <w:numPr>
          <w:ilvl w:val="0"/>
          <w:numId w:val="28"/>
        </w:numPr>
        <w:tabs>
          <w:tab w:val="clear" w:pos="720"/>
        </w:tabs>
        <w:spacing w:before="120" w:after="120" w:line="360" w:lineRule="auto"/>
        <w:ind w:left="1134" w:hanging="567"/>
        <w:rPr>
          <w:rFonts w:ascii="Arial" w:eastAsia="Calibri" w:hAnsi="Arial" w:cs="Arial"/>
          <w:szCs w:val="24"/>
        </w:rPr>
      </w:pPr>
      <w:r w:rsidRPr="00AD1F33">
        <w:rPr>
          <w:rFonts w:ascii="Arial" w:eastAsia="Calibri" w:hAnsi="Arial" w:cs="Arial"/>
          <w:szCs w:val="24"/>
        </w:rPr>
        <w:lastRenderedPageBreak/>
        <w:t>wie die Abstimmung mit der LMBV hinsichtlich der Vereinbarkeit von Sicherungskonzepten und Sanierungsregime organisiert wird und welche planerischen Konsequenzen sich hieraus für die Trassenfindung ergeben,</w:t>
      </w:r>
    </w:p>
    <w:p w14:paraId="1C3AAF71" w14:textId="77777777" w:rsidR="00E80E6A" w:rsidRPr="00AD1F33" w:rsidRDefault="00E80E6A" w:rsidP="00E80E6A">
      <w:pPr>
        <w:numPr>
          <w:ilvl w:val="0"/>
          <w:numId w:val="28"/>
        </w:numPr>
        <w:tabs>
          <w:tab w:val="clear" w:pos="720"/>
        </w:tabs>
        <w:spacing w:before="120" w:after="120" w:line="360" w:lineRule="auto"/>
        <w:ind w:left="1134" w:hanging="567"/>
        <w:rPr>
          <w:rFonts w:ascii="Arial" w:eastAsia="Calibri" w:hAnsi="Arial" w:cs="Arial"/>
          <w:szCs w:val="24"/>
        </w:rPr>
      </w:pPr>
      <w:r w:rsidRPr="00AD1F33">
        <w:rPr>
          <w:rFonts w:ascii="Arial" w:eastAsia="Calibri" w:hAnsi="Arial" w:cs="Arial"/>
          <w:szCs w:val="24"/>
        </w:rPr>
        <w:t xml:space="preserve">welche Vorbereitungshandlungen der Bieter gegenüber den Genehmigungsbehörden (Bergbehörde, Wasserbehörde) bereits vor formeller Einleitung der Genehmigungsverfahren vorsieht (z.B. informelle Vorabstimmungen, </w:t>
      </w:r>
      <w:proofErr w:type="spellStart"/>
      <w:r w:rsidRPr="00AD1F33">
        <w:rPr>
          <w:rFonts w:ascii="Arial" w:eastAsia="Calibri" w:hAnsi="Arial" w:cs="Arial"/>
          <w:szCs w:val="24"/>
        </w:rPr>
        <w:t>Scoping</w:t>
      </w:r>
      <w:proofErr w:type="spellEnd"/>
      <w:r w:rsidRPr="00AD1F33">
        <w:rPr>
          <w:rFonts w:ascii="Arial" w:eastAsia="Calibri" w:hAnsi="Arial" w:cs="Arial"/>
          <w:szCs w:val="24"/>
        </w:rPr>
        <w:t>-Gespräche, Klärung von Antragsanforderungen),</w:t>
      </w:r>
    </w:p>
    <w:p w14:paraId="126930CF" w14:textId="77777777" w:rsidR="00E80E6A" w:rsidRPr="00AD1F33" w:rsidRDefault="00E80E6A" w:rsidP="00E80E6A">
      <w:pPr>
        <w:numPr>
          <w:ilvl w:val="0"/>
          <w:numId w:val="28"/>
        </w:numPr>
        <w:tabs>
          <w:tab w:val="clear" w:pos="720"/>
        </w:tabs>
        <w:spacing w:before="120" w:after="120" w:line="360" w:lineRule="auto"/>
        <w:ind w:left="1134" w:hanging="567"/>
        <w:rPr>
          <w:rFonts w:ascii="Arial" w:eastAsia="Calibri" w:hAnsi="Arial" w:cs="Arial"/>
          <w:szCs w:val="24"/>
        </w:rPr>
      </w:pPr>
      <w:r w:rsidRPr="00AD1F33">
        <w:rPr>
          <w:rFonts w:ascii="Arial" w:eastAsia="Calibri" w:hAnsi="Arial" w:cs="Arial"/>
          <w:szCs w:val="24"/>
        </w:rPr>
        <w:t>wie die Kommunikation zwischen den verschiedenen Stakeholdern koordiniert und dokumentiert wird und</w:t>
      </w:r>
    </w:p>
    <w:p w14:paraId="688235DC" w14:textId="77777777" w:rsidR="00E80E6A" w:rsidRPr="00AD1F33" w:rsidRDefault="00E80E6A" w:rsidP="00E80E6A">
      <w:pPr>
        <w:numPr>
          <w:ilvl w:val="0"/>
          <w:numId w:val="28"/>
        </w:numPr>
        <w:tabs>
          <w:tab w:val="clear" w:pos="720"/>
        </w:tabs>
        <w:spacing w:before="120" w:after="120" w:line="360" w:lineRule="auto"/>
        <w:ind w:left="1134" w:hanging="567"/>
        <w:rPr>
          <w:rFonts w:ascii="Arial" w:eastAsia="Calibri" w:hAnsi="Arial" w:cs="Arial"/>
          <w:szCs w:val="24"/>
        </w:rPr>
      </w:pPr>
      <w:r w:rsidRPr="00AD1F33">
        <w:rPr>
          <w:rFonts w:ascii="Arial" w:eastAsia="Calibri" w:hAnsi="Arial" w:cs="Arial"/>
          <w:szCs w:val="24"/>
        </w:rPr>
        <w:t xml:space="preserve">wie die Auftraggeberin in die </w:t>
      </w:r>
      <w:proofErr w:type="spellStart"/>
      <w:r w:rsidRPr="00AD1F33">
        <w:rPr>
          <w:rFonts w:ascii="Arial" w:eastAsia="Calibri" w:hAnsi="Arial" w:cs="Arial"/>
          <w:szCs w:val="24"/>
        </w:rPr>
        <w:t>Stakeholderkommunikation</w:t>
      </w:r>
      <w:proofErr w:type="spellEnd"/>
      <w:r w:rsidRPr="00AD1F33">
        <w:rPr>
          <w:rFonts w:ascii="Arial" w:eastAsia="Calibri" w:hAnsi="Arial" w:cs="Arial"/>
          <w:szCs w:val="24"/>
        </w:rPr>
        <w:t xml:space="preserve"> eingebunden und regelmäßig über den Stand der Abstimmungen informiert wird.</w:t>
      </w:r>
    </w:p>
    <w:p w14:paraId="66592FC2" w14:textId="77777777" w:rsidR="00E80E6A" w:rsidRPr="00AD1F33" w:rsidRDefault="00E80E6A" w:rsidP="00E80E6A">
      <w:pPr>
        <w:spacing w:before="120" w:after="120" w:line="360" w:lineRule="auto"/>
        <w:ind w:left="567"/>
        <w:rPr>
          <w:rFonts w:ascii="Arial" w:eastAsia="Calibri" w:hAnsi="Arial" w:cs="Arial"/>
          <w:szCs w:val="24"/>
        </w:rPr>
      </w:pPr>
      <w:r w:rsidRPr="00AD1F33">
        <w:rPr>
          <w:rFonts w:ascii="Arial" w:eastAsia="Calibri" w:hAnsi="Arial" w:cs="Arial"/>
          <w:szCs w:val="24"/>
        </w:rPr>
        <w:t>Ein überzeugendes Konzept stellt insbesondere dar, dass die Stakeholder- und Behördenkoordination als eigenständige Planungsaufgabe mit eigenen Verantwortlichkeiten und Meilensteinen begriffen wird – und nicht als begleitende Verwaltungsaufgabe – und zeigt auf, wie frühzeitige Abstimmungen mit der LMBV und den Genehmigungsbehörden dazu beitragen, Planungsrisiken und Genehmigungsverzögerungen zu reduzieren.</w:t>
      </w:r>
    </w:p>
    <w:p w14:paraId="5C7918AF" w14:textId="5977D5E4" w:rsidR="00566184" w:rsidRPr="00AD1F33" w:rsidRDefault="00566184" w:rsidP="00566184">
      <w:pPr>
        <w:spacing w:before="120" w:after="120" w:line="360" w:lineRule="auto"/>
        <w:ind w:left="567"/>
        <w:rPr>
          <w:rFonts w:ascii="Arial" w:eastAsia="Calibri" w:hAnsi="Arial" w:cs="Arial"/>
          <w:b/>
          <w:szCs w:val="24"/>
        </w:rPr>
      </w:pPr>
      <w:r w:rsidRPr="00AD1F33">
        <w:rPr>
          <w:rFonts w:ascii="Arial" w:eastAsia="Calibri" w:hAnsi="Arial" w:cs="Arial"/>
          <w:b/>
          <w:szCs w:val="24"/>
        </w:rPr>
        <w:t xml:space="preserve">UK 5: Einordnung eigener Referenzerfahrungen in die vorliegende Aufgabe (Gewichtungsfaktor: </w:t>
      </w:r>
      <w:r w:rsidR="00A53BF5" w:rsidRPr="00AD1F33">
        <w:rPr>
          <w:rFonts w:ascii="Arial" w:eastAsia="Calibri" w:hAnsi="Arial" w:cs="Arial"/>
          <w:b/>
          <w:szCs w:val="24"/>
        </w:rPr>
        <w:t>4</w:t>
      </w:r>
      <w:r w:rsidRPr="00AD1F33">
        <w:rPr>
          <w:rFonts w:ascii="Arial" w:eastAsia="Calibri" w:hAnsi="Arial" w:cs="Arial"/>
          <w:b/>
          <w:szCs w:val="24"/>
        </w:rPr>
        <w:t>)</w:t>
      </w:r>
    </w:p>
    <w:p w14:paraId="2CB4D1DC" w14:textId="77777777" w:rsidR="00566184" w:rsidRPr="00AD1F33" w:rsidRDefault="00566184" w:rsidP="00566184">
      <w:pPr>
        <w:spacing w:before="120" w:after="120" w:line="360" w:lineRule="auto"/>
        <w:ind w:left="567"/>
        <w:rPr>
          <w:rFonts w:ascii="Arial" w:eastAsia="Calibri" w:hAnsi="Arial" w:cs="Arial"/>
          <w:szCs w:val="24"/>
        </w:rPr>
      </w:pPr>
      <w:r w:rsidRPr="00AD1F33">
        <w:rPr>
          <w:rFonts w:ascii="Arial" w:eastAsia="Calibri" w:hAnsi="Arial" w:cs="Arial"/>
          <w:szCs w:val="24"/>
        </w:rPr>
        <w:t>Der Bieter hat anhand eigener Referenzprojekte zu vergleichbaren Planungsaufgaben – insbesondere zum Bau oder Ersatzneubau von langen Medienleitungen in den Bereichen Fernwärme und/oder Trinkwasser – darzustellen, welche seiner Erfahrungen sich wie auf die vorliegende Aufgabe auswirken und wie er seine besondere fachliche Expertise zur Lösung der sich stellenden Aufgabe einsetzen wird. Dabei sind sowohl positive als auch negative Erfahrungen (z.B. nicht antizipierte Risiken, Planungsänderungen, behördliche Abstimmungsbedarfe) einzubeziehen und auf die konkrete Situation im Planungsgebiet (B97/S130, Bergbaufolgelandschaft, laufender Versorgungsbetrieb) zu übertragen.</w:t>
      </w:r>
    </w:p>
    <w:p w14:paraId="2FE3A80F" w14:textId="77777777" w:rsidR="00566184" w:rsidRPr="00AD1F33" w:rsidRDefault="00566184" w:rsidP="00566184">
      <w:pPr>
        <w:spacing w:before="120" w:after="120" w:line="360" w:lineRule="auto"/>
        <w:ind w:left="567"/>
        <w:rPr>
          <w:rFonts w:ascii="Arial" w:eastAsia="Calibri" w:hAnsi="Arial" w:cs="Arial"/>
          <w:szCs w:val="24"/>
        </w:rPr>
      </w:pPr>
      <w:r w:rsidRPr="00AD1F33">
        <w:rPr>
          <w:rFonts w:ascii="Arial" w:eastAsia="Calibri" w:hAnsi="Arial" w:cs="Arial"/>
          <w:szCs w:val="24"/>
        </w:rPr>
        <w:t xml:space="preserve">Es wird ausdrücklich darauf hingewiesen, dass dieses Kapitel inhaltlich von den im Rahmen der Eignungsprüfung eingereichten Unternehmensreferenzen (Formblatt 2.5) zu unterscheiden ist: Während Letztere den Eignungsnachweis erbringen, dient dieses </w:t>
      </w:r>
      <w:r w:rsidRPr="00AD1F33">
        <w:rPr>
          <w:rFonts w:ascii="Arial" w:eastAsia="Calibri" w:hAnsi="Arial" w:cs="Arial"/>
          <w:szCs w:val="24"/>
        </w:rPr>
        <w:lastRenderedPageBreak/>
        <w:t>Kapitel der Darstellung des konkreten Erkenntnistransfers aus Referenzprojekten auf das vorliegende Vorhaben.</w:t>
      </w:r>
    </w:p>
    <w:p w14:paraId="4BB317B2" w14:textId="77777777" w:rsidR="00566184" w:rsidRPr="00AD1F33" w:rsidRDefault="00566184" w:rsidP="00566184">
      <w:pPr>
        <w:spacing w:before="120" w:after="120" w:line="360" w:lineRule="auto"/>
        <w:ind w:left="567"/>
        <w:rPr>
          <w:rFonts w:ascii="Arial" w:eastAsia="Calibri" w:hAnsi="Arial" w:cs="Arial"/>
          <w:szCs w:val="24"/>
        </w:rPr>
      </w:pPr>
      <w:r w:rsidRPr="00AD1F33">
        <w:rPr>
          <w:rFonts w:ascii="Arial" w:eastAsia="Calibri" w:hAnsi="Arial" w:cs="Arial"/>
          <w:szCs w:val="24"/>
        </w:rPr>
        <w:t>Ein überzeugendes Konzept stellt insbesondere einen konkreten Bezug zwischen Referenzerfahrungen und den spezifischen Herausforderungen des vorliegenden Projekts her und zeigt auf, wie gewonnene Erkenntnisse aus vergleichbaren Projekten – auch aus schwierigen Situationen oder Planungsänderungen – die Qualität der hier zu erbringenden Planungsleistung konkret verbessern.</w:t>
      </w:r>
    </w:p>
    <w:p w14:paraId="44824147" w14:textId="68A09BB1" w:rsidR="009D3B5B" w:rsidRPr="00AD1F33" w:rsidRDefault="009D3B5B" w:rsidP="009D3B5B">
      <w:pPr>
        <w:spacing w:before="120" w:after="120" w:line="360" w:lineRule="auto"/>
        <w:ind w:left="567"/>
        <w:rPr>
          <w:rFonts w:ascii="Arial" w:eastAsia="Calibri" w:hAnsi="Arial" w:cs="Arial"/>
          <w:szCs w:val="24"/>
        </w:rPr>
      </w:pPr>
      <w:r w:rsidRPr="00AD1F33">
        <w:rPr>
          <w:rFonts w:ascii="Arial" w:eastAsia="Calibri" w:hAnsi="Arial" w:cs="Arial"/>
          <w:szCs w:val="24"/>
        </w:rPr>
        <w:t xml:space="preserve">Jedes der oben genannten Unterkriterien wird zunächst auf einer Skala von 1 bis 5 Punkten bewertet. Die </w:t>
      </w:r>
      <w:r w:rsidR="00197D81" w:rsidRPr="00AD1F33">
        <w:rPr>
          <w:rFonts w:ascii="Arial" w:eastAsia="Calibri" w:hAnsi="Arial" w:cs="Arial"/>
          <w:szCs w:val="24"/>
        </w:rPr>
        <w:t xml:space="preserve">Teilpunktzahl für das jeweilige Unterkriterium </w:t>
      </w:r>
      <w:r w:rsidRPr="00AD1F33">
        <w:rPr>
          <w:rFonts w:ascii="Arial" w:eastAsia="Calibri" w:hAnsi="Arial" w:cs="Arial"/>
          <w:szCs w:val="24"/>
        </w:rPr>
        <w:t>ergibt sich aus der Multiplikation dieser Bewertung mit dem jeweiligen Gewichtungsfaktor.</w:t>
      </w:r>
      <w:r w:rsidR="00197D81" w:rsidRPr="00AD1F33">
        <w:rPr>
          <w:rFonts w:ascii="Arial" w:eastAsia="Calibri" w:hAnsi="Arial" w:cs="Arial"/>
          <w:szCs w:val="24"/>
        </w:rPr>
        <w:t xml:space="preserve"> Die Gesamtpunktzahl über alle Unterkriterien ergibt sich auch der Summation der Teilpunktzahlen.</w:t>
      </w:r>
    </w:p>
    <w:p w14:paraId="540F159C" w14:textId="77777777" w:rsidR="009D3B5B" w:rsidRPr="00AD1F33" w:rsidRDefault="009D3B5B" w:rsidP="009D3B5B">
      <w:pPr>
        <w:numPr>
          <w:ilvl w:val="0"/>
          <w:numId w:val="5"/>
        </w:numPr>
        <w:spacing w:before="120" w:after="120" w:line="360" w:lineRule="auto"/>
        <w:ind w:left="1134" w:hanging="567"/>
        <w:rPr>
          <w:rFonts w:ascii="Arial" w:eastAsia="Calibri" w:hAnsi="Arial" w:cs="Arial"/>
          <w:szCs w:val="24"/>
        </w:rPr>
      </w:pPr>
      <w:r w:rsidRPr="00AD1F33">
        <w:rPr>
          <w:rFonts w:ascii="Arial" w:eastAsia="Calibri" w:hAnsi="Arial" w:cs="Arial"/>
          <w:b/>
          <w:bCs/>
          <w:szCs w:val="24"/>
        </w:rPr>
        <w:t>1 Punkt (mangelhaft):</w:t>
      </w:r>
      <w:r w:rsidRPr="00AD1F33">
        <w:rPr>
          <w:rFonts w:ascii="Arial" w:eastAsia="Calibri" w:hAnsi="Arial" w:cs="Arial"/>
          <w:szCs w:val="24"/>
        </w:rPr>
        <w:t xml:space="preserve"> Das Konzept lässt keine anforderungsgerechte Leistungserbringung erwarten.</w:t>
      </w:r>
    </w:p>
    <w:p w14:paraId="61BCF330" w14:textId="77777777" w:rsidR="009D3B5B" w:rsidRPr="00AD1F33" w:rsidRDefault="009D3B5B" w:rsidP="009D3B5B">
      <w:pPr>
        <w:numPr>
          <w:ilvl w:val="0"/>
          <w:numId w:val="5"/>
        </w:numPr>
        <w:spacing w:before="120" w:after="120" w:line="360" w:lineRule="auto"/>
        <w:ind w:left="1134" w:hanging="567"/>
        <w:rPr>
          <w:rFonts w:ascii="Arial" w:eastAsia="Calibri" w:hAnsi="Arial" w:cs="Arial"/>
          <w:szCs w:val="24"/>
        </w:rPr>
      </w:pPr>
      <w:r w:rsidRPr="00AD1F33">
        <w:rPr>
          <w:rFonts w:ascii="Arial" w:eastAsia="Calibri" w:hAnsi="Arial" w:cs="Arial"/>
          <w:b/>
          <w:bCs/>
          <w:szCs w:val="24"/>
        </w:rPr>
        <w:t>2 Punkte (ausreichend):</w:t>
      </w:r>
      <w:r w:rsidRPr="00AD1F33">
        <w:rPr>
          <w:rFonts w:ascii="Arial" w:eastAsia="Calibri" w:hAnsi="Arial" w:cs="Arial"/>
          <w:szCs w:val="24"/>
        </w:rPr>
        <w:t xml:space="preserve"> Das Konzept lässt eine unterdurchschnittliche bzw. ausreichende Leistungserbringung erwarten.</w:t>
      </w:r>
    </w:p>
    <w:p w14:paraId="28CA5965" w14:textId="77777777" w:rsidR="009D3B5B" w:rsidRPr="00AD1F33" w:rsidRDefault="009D3B5B" w:rsidP="009D3B5B">
      <w:pPr>
        <w:numPr>
          <w:ilvl w:val="0"/>
          <w:numId w:val="5"/>
        </w:numPr>
        <w:spacing w:before="120" w:after="120" w:line="360" w:lineRule="auto"/>
        <w:ind w:left="1134" w:hanging="567"/>
        <w:rPr>
          <w:rFonts w:ascii="Arial" w:eastAsia="Calibri" w:hAnsi="Arial" w:cs="Arial"/>
          <w:szCs w:val="24"/>
        </w:rPr>
      </w:pPr>
      <w:r w:rsidRPr="00AD1F33">
        <w:rPr>
          <w:rFonts w:ascii="Arial" w:eastAsia="Calibri" w:hAnsi="Arial" w:cs="Arial"/>
          <w:b/>
          <w:bCs/>
          <w:szCs w:val="24"/>
        </w:rPr>
        <w:t>3 Punkte (befriedigend):</w:t>
      </w:r>
      <w:r w:rsidRPr="00AD1F33">
        <w:rPr>
          <w:rFonts w:ascii="Arial" w:eastAsia="Calibri" w:hAnsi="Arial" w:cs="Arial"/>
          <w:szCs w:val="24"/>
        </w:rPr>
        <w:t xml:space="preserve"> Das Konzept lässt eine durchschnittliche bzw. befriedigende Leistungserbringung erwarten.</w:t>
      </w:r>
    </w:p>
    <w:p w14:paraId="75D4532D" w14:textId="77777777" w:rsidR="009D3B5B" w:rsidRPr="00AD1F33" w:rsidRDefault="009D3B5B" w:rsidP="009D3B5B">
      <w:pPr>
        <w:numPr>
          <w:ilvl w:val="0"/>
          <w:numId w:val="5"/>
        </w:numPr>
        <w:spacing w:before="120" w:after="120" w:line="360" w:lineRule="auto"/>
        <w:ind w:left="1134" w:hanging="567"/>
        <w:rPr>
          <w:rFonts w:ascii="Arial" w:eastAsia="Calibri" w:hAnsi="Arial" w:cs="Arial"/>
          <w:szCs w:val="24"/>
        </w:rPr>
      </w:pPr>
      <w:r w:rsidRPr="00AD1F33">
        <w:rPr>
          <w:rFonts w:ascii="Arial" w:eastAsia="Calibri" w:hAnsi="Arial" w:cs="Arial"/>
          <w:b/>
          <w:bCs/>
          <w:szCs w:val="24"/>
        </w:rPr>
        <w:t>4 Punkte (gut):</w:t>
      </w:r>
      <w:r w:rsidRPr="00AD1F33">
        <w:rPr>
          <w:rFonts w:ascii="Arial" w:eastAsia="Calibri" w:hAnsi="Arial" w:cs="Arial"/>
          <w:szCs w:val="24"/>
        </w:rPr>
        <w:t xml:space="preserve"> Das Konzept lässt eine überdurchschnittliche bzw. gute Leistungserbringung erwarten.</w:t>
      </w:r>
    </w:p>
    <w:p w14:paraId="5F36CB58" w14:textId="0AA52C99" w:rsidR="00E712EB" w:rsidRPr="00AD1F33" w:rsidRDefault="009D3B5B" w:rsidP="009D3B5B">
      <w:pPr>
        <w:numPr>
          <w:ilvl w:val="0"/>
          <w:numId w:val="5"/>
        </w:numPr>
        <w:spacing w:before="120" w:after="120" w:line="360" w:lineRule="auto"/>
        <w:ind w:left="1134" w:hanging="567"/>
        <w:rPr>
          <w:rFonts w:ascii="Arial" w:eastAsia="Calibri" w:hAnsi="Arial" w:cs="Arial"/>
          <w:szCs w:val="24"/>
        </w:rPr>
      </w:pPr>
      <w:r w:rsidRPr="00AD1F33">
        <w:rPr>
          <w:rFonts w:ascii="Arial" w:eastAsia="Calibri" w:hAnsi="Arial" w:cs="Arial"/>
          <w:b/>
          <w:bCs/>
          <w:szCs w:val="24"/>
        </w:rPr>
        <w:t>5 Punkte (sehr gut):</w:t>
      </w:r>
      <w:r w:rsidRPr="00AD1F33">
        <w:rPr>
          <w:rFonts w:ascii="Arial" w:eastAsia="Calibri" w:hAnsi="Arial" w:cs="Arial"/>
          <w:szCs w:val="24"/>
        </w:rPr>
        <w:t xml:space="preserve"> Das Konzept lässt eine herausragende bzw. sehr gute Leistungserbringung erwarten. </w:t>
      </w:r>
    </w:p>
    <w:p w14:paraId="53357324" w14:textId="798C6217" w:rsidR="00D871C1" w:rsidRPr="00AD1F33" w:rsidRDefault="00D871C1" w:rsidP="00D871C1">
      <w:pPr>
        <w:spacing w:before="120" w:after="120" w:line="360" w:lineRule="auto"/>
        <w:ind w:left="567"/>
        <w:rPr>
          <w:rFonts w:ascii="Arial" w:eastAsia="Calibri" w:hAnsi="Arial" w:cs="Arial"/>
          <w:szCs w:val="24"/>
        </w:rPr>
      </w:pPr>
      <w:r w:rsidRPr="00AD1F33">
        <w:rPr>
          <w:rFonts w:ascii="Arial" w:eastAsia="Calibri" w:hAnsi="Arial" w:cs="Arial"/>
          <w:szCs w:val="24"/>
        </w:rPr>
        <w:t>Nachkommastellen bei der Vergabe der Punkte werden nicht berücksichtigt. Ein Angebot wird von der weiteren Wertung ausgeschlossen, wenn es bei einem einzelnen Unterkriterium 0 Punkte erhält oder bei mindestens zwei Unterkriterien jeweils nur 1 Punkt erzielt.</w:t>
      </w:r>
    </w:p>
    <w:p w14:paraId="6A0F37F8" w14:textId="77777777" w:rsidR="0078761A" w:rsidRPr="00AD1F33" w:rsidRDefault="005F4EE4">
      <w:pPr>
        <w:pStyle w:val="berschrift1"/>
        <w:spacing w:before="240" w:after="240" w:line="360" w:lineRule="auto"/>
        <w:ind w:hanging="567"/>
        <w:rPr>
          <w:rFonts w:ascii="Arial" w:eastAsiaTheme="minorHAnsi" w:hAnsi="Arial" w:cs="Arial"/>
        </w:rPr>
      </w:pPr>
      <w:bookmarkStart w:id="57" w:name="_Toc214641444"/>
      <w:bookmarkStart w:id="58" w:name="_Toc230266766"/>
      <w:r w:rsidRPr="00AD1F33">
        <w:rPr>
          <w:rFonts w:ascii="Arial" w:eastAsiaTheme="minorHAnsi" w:hAnsi="Arial" w:cs="Arial"/>
        </w:rPr>
        <w:t>Inhalt des Angebots</w:t>
      </w:r>
      <w:bookmarkEnd w:id="57"/>
      <w:bookmarkEnd w:id="58"/>
    </w:p>
    <w:p w14:paraId="6A0F37F9" w14:textId="77777777" w:rsidR="0078761A" w:rsidRPr="00AD1F33" w:rsidRDefault="005F4EE4">
      <w:pPr>
        <w:spacing w:before="120" w:after="120" w:line="360" w:lineRule="auto"/>
        <w:ind w:left="567"/>
        <w:rPr>
          <w:rFonts w:ascii="Arial" w:hAnsi="Arial" w:cs="Arial"/>
        </w:rPr>
      </w:pPr>
      <w:r w:rsidRPr="00AD1F33">
        <w:rPr>
          <w:rFonts w:ascii="Arial" w:hAnsi="Arial" w:cs="Arial"/>
        </w:rPr>
        <w:t xml:space="preserve">Die Bieter haben mit dem Angebot nachfolgend genannte Unterlagen </w:t>
      </w:r>
      <w:r w:rsidRPr="00AD1F33">
        <w:rPr>
          <w:rFonts w:ascii="Arial" w:hAnsi="Arial" w:cs="Arial"/>
          <w:u w:val="single"/>
        </w:rPr>
        <w:t>zwingend</w:t>
      </w:r>
      <w:r w:rsidRPr="00AD1F33">
        <w:rPr>
          <w:rFonts w:ascii="Arial" w:hAnsi="Arial" w:cs="Arial"/>
        </w:rPr>
        <w:t xml:space="preserve"> einzureichen: </w:t>
      </w:r>
    </w:p>
    <w:tbl>
      <w:tblPr>
        <w:tblW w:w="8501" w:type="dxa"/>
        <w:tblInd w:w="562" w:type="dxa"/>
        <w:tblLayout w:type="fixed"/>
        <w:tblLook w:val="04A0" w:firstRow="1" w:lastRow="0" w:firstColumn="1" w:lastColumn="0" w:noHBand="0" w:noVBand="1"/>
      </w:tblPr>
      <w:tblGrid>
        <w:gridCol w:w="2410"/>
        <w:gridCol w:w="6091"/>
      </w:tblGrid>
      <w:tr w:rsidR="007B20C1" w:rsidRPr="00AD1F33" w14:paraId="2C091E3D" w14:textId="77777777" w:rsidTr="00DC4782">
        <w:tc>
          <w:tcPr>
            <w:tcW w:w="2410" w:type="dxa"/>
            <w:tcBorders>
              <w:top w:val="single" w:sz="4" w:space="0" w:color="000000"/>
              <w:left w:val="single" w:sz="4" w:space="0" w:color="000000"/>
              <w:bottom w:val="single" w:sz="4" w:space="0" w:color="000000"/>
              <w:right w:val="single" w:sz="4" w:space="0" w:color="000000"/>
            </w:tcBorders>
          </w:tcPr>
          <w:p w14:paraId="22E3A917" w14:textId="77777777" w:rsidR="007B20C1" w:rsidRPr="00AD1F33" w:rsidRDefault="007B20C1" w:rsidP="00DC4782">
            <w:pPr>
              <w:spacing w:before="120" w:after="120" w:line="360" w:lineRule="auto"/>
              <w:rPr>
                <w:rFonts w:ascii="Arial" w:hAnsi="Arial" w:cs="Arial"/>
                <w:b/>
              </w:rPr>
            </w:pPr>
            <w:r w:rsidRPr="00AD1F33">
              <w:rPr>
                <w:rFonts w:ascii="Arial" w:hAnsi="Arial" w:cs="Arial"/>
                <w:b/>
              </w:rPr>
              <w:lastRenderedPageBreak/>
              <w:t>Formblatt 2.1</w:t>
            </w:r>
          </w:p>
        </w:tc>
        <w:tc>
          <w:tcPr>
            <w:tcW w:w="6091" w:type="dxa"/>
            <w:tcBorders>
              <w:top w:val="single" w:sz="4" w:space="0" w:color="000000"/>
              <w:left w:val="single" w:sz="4" w:space="0" w:color="000000"/>
              <w:bottom w:val="single" w:sz="4" w:space="0" w:color="000000"/>
              <w:right w:val="single" w:sz="4" w:space="0" w:color="000000"/>
            </w:tcBorders>
          </w:tcPr>
          <w:p w14:paraId="12DA8B6F" w14:textId="77777777" w:rsidR="007B20C1" w:rsidRPr="00AD1F33" w:rsidRDefault="007B20C1" w:rsidP="00DC4782">
            <w:pPr>
              <w:spacing w:before="120" w:after="120" w:line="360" w:lineRule="auto"/>
              <w:rPr>
                <w:rFonts w:ascii="Arial" w:hAnsi="Arial" w:cs="Arial"/>
                <w:b/>
              </w:rPr>
            </w:pPr>
            <w:r w:rsidRPr="00AD1F33">
              <w:rPr>
                <w:rFonts w:ascii="Arial" w:hAnsi="Arial" w:cs="Arial"/>
                <w:b/>
              </w:rPr>
              <w:t>Angebotsschreiben</w:t>
            </w:r>
          </w:p>
          <w:p w14:paraId="6523DE04" w14:textId="5FDADD37" w:rsidR="007B20C1" w:rsidRPr="00AD1F33" w:rsidRDefault="003C7FE0" w:rsidP="00DC4782">
            <w:pPr>
              <w:spacing w:before="120" w:after="120" w:line="360" w:lineRule="auto"/>
              <w:rPr>
                <w:rFonts w:ascii="Arial" w:hAnsi="Arial" w:cs="Arial"/>
              </w:rPr>
            </w:pPr>
            <w:r w:rsidRPr="00AD1F33">
              <w:rPr>
                <w:rFonts w:ascii="Arial" w:hAnsi="Arial" w:cs="Arial"/>
              </w:rPr>
              <w:t>Das Formblatt ist vollständig auszufüllen, zu datieren und rechtsverbindlich zu unterzeichnen. Bei Bietergemeinschaften hat die Unterzeichnung durch alle Mitglieder oder durch den bevollmächtigten Vertreter zu erfolgen.</w:t>
            </w:r>
          </w:p>
        </w:tc>
      </w:tr>
      <w:tr w:rsidR="007B20C1" w:rsidRPr="00AD1F33" w14:paraId="49498827" w14:textId="77777777" w:rsidTr="00DC4782">
        <w:tc>
          <w:tcPr>
            <w:tcW w:w="2410" w:type="dxa"/>
            <w:tcBorders>
              <w:top w:val="single" w:sz="4" w:space="0" w:color="000000"/>
              <w:left w:val="single" w:sz="4" w:space="0" w:color="000000"/>
              <w:bottom w:val="single" w:sz="4" w:space="0" w:color="000000"/>
              <w:right w:val="single" w:sz="4" w:space="0" w:color="000000"/>
            </w:tcBorders>
          </w:tcPr>
          <w:p w14:paraId="74D9DB61" w14:textId="77777777" w:rsidR="007B20C1" w:rsidRPr="00AD1F33" w:rsidRDefault="007B20C1" w:rsidP="00DC4782">
            <w:pPr>
              <w:spacing w:before="120" w:after="120" w:line="360" w:lineRule="auto"/>
              <w:rPr>
                <w:rFonts w:ascii="Arial" w:hAnsi="Arial" w:cs="Arial"/>
                <w:b/>
              </w:rPr>
            </w:pPr>
            <w:r w:rsidRPr="00AD1F33">
              <w:rPr>
                <w:rFonts w:ascii="Arial" w:hAnsi="Arial" w:cs="Arial"/>
                <w:b/>
              </w:rPr>
              <w:t>Formblatt 2.2</w:t>
            </w:r>
          </w:p>
        </w:tc>
        <w:tc>
          <w:tcPr>
            <w:tcW w:w="6091" w:type="dxa"/>
            <w:tcBorders>
              <w:top w:val="single" w:sz="4" w:space="0" w:color="000000"/>
              <w:left w:val="single" w:sz="4" w:space="0" w:color="000000"/>
              <w:bottom w:val="single" w:sz="4" w:space="0" w:color="000000"/>
              <w:right w:val="single" w:sz="4" w:space="0" w:color="000000"/>
            </w:tcBorders>
          </w:tcPr>
          <w:p w14:paraId="64C2148B" w14:textId="60EA327C" w:rsidR="007B20C1" w:rsidRPr="00AD1F33" w:rsidRDefault="00400943" w:rsidP="00A53BF5">
            <w:pPr>
              <w:keepNext/>
              <w:spacing w:before="120" w:after="120" w:line="360" w:lineRule="auto"/>
              <w:rPr>
                <w:rFonts w:ascii="Arial" w:hAnsi="Arial" w:cs="Arial"/>
                <w:b/>
              </w:rPr>
            </w:pPr>
            <w:r w:rsidRPr="00AD1F33">
              <w:rPr>
                <w:rFonts w:ascii="Arial" w:hAnsi="Arial" w:cs="Arial"/>
                <w:b/>
              </w:rPr>
              <w:t>Preisblatt</w:t>
            </w:r>
          </w:p>
          <w:p w14:paraId="049AFF87" w14:textId="5FC2500C" w:rsidR="007B20C1" w:rsidRPr="00AD1F33" w:rsidRDefault="001A46FB" w:rsidP="00DC4782">
            <w:pPr>
              <w:spacing w:before="120" w:after="120" w:line="360" w:lineRule="auto"/>
              <w:rPr>
                <w:rFonts w:ascii="Arial" w:hAnsi="Arial" w:cs="Arial"/>
              </w:rPr>
            </w:pPr>
            <w:r w:rsidRPr="00AD1F33">
              <w:rPr>
                <w:rFonts w:ascii="Arial" w:hAnsi="Arial" w:cs="Arial"/>
              </w:rPr>
              <w:t>Das Preisblatt ist vollständig mit allen geforderten Honorarangaben auszufüllen. Fehlende oder unvollständige Angaben können zum Ausschluss des Angebots führen. Maßgeblich für die Preisbewertung ist die Gesamtangebotssumme brutto für beide Planungsobjekte einschließlich besonderer Leistungen und Nebenkosten.</w:t>
            </w:r>
          </w:p>
        </w:tc>
      </w:tr>
      <w:tr w:rsidR="007B20C1" w:rsidRPr="00AD1F33" w14:paraId="10CCADD5" w14:textId="77777777" w:rsidTr="00DC4782">
        <w:tc>
          <w:tcPr>
            <w:tcW w:w="2410" w:type="dxa"/>
            <w:tcBorders>
              <w:top w:val="single" w:sz="4" w:space="0" w:color="000000"/>
              <w:left w:val="single" w:sz="4" w:space="0" w:color="000000"/>
              <w:bottom w:val="single" w:sz="4" w:space="0" w:color="000000"/>
              <w:right w:val="single" w:sz="4" w:space="0" w:color="000000"/>
            </w:tcBorders>
          </w:tcPr>
          <w:p w14:paraId="24F91D28" w14:textId="77777777" w:rsidR="007B20C1" w:rsidRPr="00AD1F33" w:rsidRDefault="007B20C1" w:rsidP="00DC4782">
            <w:pPr>
              <w:spacing w:before="120" w:after="120" w:line="360" w:lineRule="auto"/>
              <w:rPr>
                <w:rFonts w:ascii="Arial" w:hAnsi="Arial" w:cs="Arial"/>
                <w:b/>
              </w:rPr>
            </w:pPr>
            <w:r w:rsidRPr="00AD1F33">
              <w:rPr>
                <w:rFonts w:ascii="Arial" w:hAnsi="Arial" w:cs="Arial"/>
                <w:b/>
              </w:rPr>
              <w:t>Formblatt 2.3</w:t>
            </w:r>
          </w:p>
        </w:tc>
        <w:tc>
          <w:tcPr>
            <w:tcW w:w="6091" w:type="dxa"/>
            <w:tcBorders>
              <w:top w:val="single" w:sz="4" w:space="0" w:color="000000"/>
              <w:left w:val="single" w:sz="4" w:space="0" w:color="000000"/>
              <w:bottom w:val="single" w:sz="4" w:space="0" w:color="000000"/>
              <w:right w:val="single" w:sz="4" w:space="0" w:color="000000"/>
            </w:tcBorders>
          </w:tcPr>
          <w:p w14:paraId="03E04AF9" w14:textId="5DE4CEF6" w:rsidR="007B20C1" w:rsidRPr="00AD1F33" w:rsidRDefault="007B20C1" w:rsidP="00DC4782">
            <w:pPr>
              <w:spacing w:before="120" w:after="120" w:line="360" w:lineRule="auto"/>
              <w:rPr>
                <w:rFonts w:ascii="Arial" w:hAnsi="Arial" w:cs="Arial"/>
                <w:szCs w:val="22"/>
              </w:rPr>
            </w:pPr>
            <w:r w:rsidRPr="00AD1F33">
              <w:rPr>
                <w:rFonts w:ascii="Arial" w:hAnsi="Arial" w:cs="Arial"/>
                <w:b/>
              </w:rPr>
              <w:t>Konzept zur Leistungserbringung</w:t>
            </w:r>
          </w:p>
          <w:p w14:paraId="3D877628" w14:textId="3B1CF047" w:rsidR="007B20C1" w:rsidRPr="00AD1F33" w:rsidRDefault="001A46FB" w:rsidP="00DC4782">
            <w:pPr>
              <w:spacing w:before="120" w:after="120" w:line="360" w:lineRule="auto"/>
              <w:rPr>
                <w:rFonts w:ascii="Arial" w:hAnsi="Arial" w:cs="Arial"/>
                <w:szCs w:val="22"/>
              </w:rPr>
            </w:pPr>
            <w:r w:rsidRPr="00AD1F33">
              <w:rPr>
                <w:rFonts w:ascii="Arial" w:hAnsi="Arial" w:cs="Arial"/>
                <w:szCs w:val="22"/>
              </w:rPr>
              <w:t>Das Konzept ist unter Verwendung des bereitgestellten Formblatts und unter Einhaltung der darin festgelegten Formvorgaben zu erstellen und einzureichen. Die geforderten Inhalte sowie die Struktur des Konzepts (fünf Kapitel – UK 1 bis UK 5) sind unter Ziffer 4.2 und im Formblatt 2.3 näher dargestellt. Das Konzept darf einen Gesamtumfang von 15 DIN-A4-Seiten nicht überschreiten; Konzeptteile, die den vorgegebenen Seitenumfang überschreiten, werden bei der Wertung nicht berücksichtigt</w:t>
            </w:r>
            <w:r w:rsidR="007B20C1" w:rsidRPr="00AD1F33">
              <w:rPr>
                <w:rFonts w:ascii="Arial" w:hAnsi="Arial" w:cs="Arial"/>
                <w:szCs w:val="22"/>
              </w:rPr>
              <w:t>.</w:t>
            </w:r>
          </w:p>
        </w:tc>
      </w:tr>
      <w:tr w:rsidR="007B20C1" w:rsidRPr="00AD1F33" w14:paraId="36B6EFC2" w14:textId="77777777" w:rsidTr="00DC4782">
        <w:tc>
          <w:tcPr>
            <w:tcW w:w="2410" w:type="dxa"/>
            <w:tcBorders>
              <w:top w:val="single" w:sz="4" w:space="0" w:color="000000"/>
              <w:left w:val="single" w:sz="4" w:space="0" w:color="000000"/>
              <w:bottom w:val="single" w:sz="4" w:space="0" w:color="000000"/>
              <w:right w:val="single" w:sz="4" w:space="0" w:color="000000"/>
            </w:tcBorders>
          </w:tcPr>
          <w:p w14:paraId="17357AEE" w14:textId="77777777" w:rsidR="007B20C1" w:rsidRPr="00AD1F33" w:rsidRDefault="007B20C1" w:rsidP="00DC4782">
            <w:pPr>
              <w:spacing w:before="120" w:after="120" w:line="360" w:lineRule="auto"/>
              <w:rPr>
                <w:rFonts w:ascii="Arial" w:hAnsi="Arial" w:cs="Arial"/>
                <w:b/>
              </w:rPr>
            </w:pPr>
            <w:r w:rsidRPr="00AD1F33">
              <w:rPr>
                <w:rFonts w:ascii="Arial" w:hAnsi="Arial" w:cs="Arial"/>
                <w:b/>
              </w:rPr>
              <w:t>Formblatt 2.4</w:t>
            </w:r>
          </w:p>
        </w:tc>
        <w:tc>
          <w:tcPr>
            <w:tcW w:w="6091" w:type="dxa"/>
            <w:tcBorders>
              <w:top w:val="single" w:sz="4" w:space="0" w:color="000000"/>
              <w:left w:val="single" w:sz="4" w:space="0" w:color="000000"/>
              <w:bottom w:val="single" w:sz="4" w:space="0" w:color="000000"/>
              <w:right w:val="single" w:sz="4" w:space="0" w:color="000000"/>
            </w:tcBorders>
          </w:tcPr>
          <w:p w14:paraId="79B9B8ED" w14:textId="77777777" w:rsidR="007B20C1" w:rsidRPr="00AD1F33" w:rsidRDefault="007B20C1" w:rsidP="003C7FE0">
            <w:pPr>
              <w:keepNext/>
              <w:spacing w:before="120" w:after="120" w:line="360" w:lineRule="auto"/>
              <w:rPr>
                <w:rFonts w:ascii="Arial" w:hAnsi="Arial" w:cs="Arial"/>
                <w:b/>
                <w:szCs w:val="22"/>
              </w:rPr>
            </w:pPr>
            <w:r w:rsidRPr="00AD1F33">
              <w:rPr>
                <w:rFonts w:ascii="Arial" w:hAnsi="Arial" w:cs="Arial"/>
                <w:b/>
                <w:szCs w:val="22"/>
              </w:rPr>
              <w:t>Ausschlussgründe und Eignung</w:t>
            </w:r>
          </w:p>
          <w:p w14:paraId="17E9B98D" w14:textId="77777777" w:rsidR="003C7FE0" w:rsidRPr="00AD1F33" w:rsidRDefault="003C7FE0" w:rsidP="003C7FE0">
            <w:pPr>
              <w:suppressAutoHyphens w:val="0"/>
              <w:spacing w:before="120" w:after="120" w:line="360" w:lineRule="auto"/>
              <w:rPr>
                <w:rFonts w:ascii="Arial" w:hAnsi="Arial" w:cs="Arial"/>
                <w:szCs w:val="22"/>
                <w:lang w:eastAsia="de-DE"/>
              </w:rPr>
            </w:pPr>
            <w:r w:rsidRPr="00AD1F33">
              <w:rPr>
                <w:rFonts w:ascii="Arial" w:hAnsi="Arial" w:cs="Arial"/>
                <w:szCs w:val="22"/>
                <w:lang w:eastAsia="de-DE"/>
              </w:rPr>
              <w:t xml:space="preserve">Das Formblatt ist von jedem Bieter, jedem Mitglied einer Bietergemeinschaft sowie jedem einbezogenen Drittunternehmen (benannte Unterauftragnehmer) auszufüllen. Es ist zu bestätigen, dass keine Ausschlussgründe gemäß §§ 123, 124 GWB vorliegen und die erforderliche Eignung gegeben </w:t>
            </w:r>
            <w:r w:rsidRPr="00AD1F33">
              <w:rPr>
                <w:rFonts w:ascii="Arial" w:hAnsi="Arial" w:cs="Arial"/>
                <w:szCs w:val="22"/>
                <w:lang w:eastAsia="de-DE"/>
              </w:rPr>
              <w:lastRenderedPageBreak/>
              <w:t xml:space="preserve">ist. Als Anlagen sind – </w:t>
            </w:r>
            <w:proofErr w:type="gramStart"/>
            <w:r w:rsidRPr="00AD1F33">
              <w:rPr>
                <w:rFonts w:ascii="Arial" w:hAnsi="Arial" w:cs="Arial"/>
                <w:szCs w:val="22"/>
                <w:lang w:eastAsia="de-DE"/>
              </w:rPr>
              <w:t>soweit</w:t>
            </w:r>
            <w:proofErr w:type="gramEnd"/>
            <w:r w:rsidRPr="00AD1F33">
              <w:rPr>
                <w:rFonts w:ascii="Arial" w:hAnsi="Arial" w:cs="Arial"/>
                <w:szCs w:val="22"/>
                <w:lang w:eastAsia="de-DE"/>
              </w:rPr>
              <w:t xml:space="preserve"> einschlägig – insbesondere beizufügen:</w:t>
            </w:r>
          </w:p>
          <w:p w14:paraId="7C800666" w14:textId="77777777" w:rsidR="003C7FE0" w:rsidRPr="00AD1F33" w:rsidRDefault="003C7FE0" w:rsidP="003C7FE0">
            <w:pPr>
              <w:numPr>
                <w:ilvl w:val="0"/>
                <w:numId w:val="12"/>
              </w:numPr>
              <w:suppressAutoHyphens w:val="0"/>
              <w:spacing w:before="120" w:after="120" w:line="360" w:lineRule="auto"/>
              <w:rPr>
                <w:rFonts w:ascii="Arial" w:hAnsi="Arial" w:cs="Arial"/>
                <w:szCs w:val="22"/>
                <w:lang w:eastAsia="de-DE"/>
              </w:rPr>
            </w:pPr>
            <w:r w:rsidRPr="00AD1F33">
              <w:rPr>
                <w:rFonts w:ascii="Arial" w:hAnsi="Arial" w:cs="Arial"/>
                <w:szCs w:val="22"/>
                <w:lang w:eastAsia="de-DE"/>
              </w:rPr>
              <w:t>Aktueller Auszug aus dem Berufs- oder Handelsregister (Kopie, nicht älter als sechs Monate, bzw. bei ausländischen Bietern eine gleichwertige Bescheinigung)</w:t>
            </w:r>
          </w:p>
          <w:p w14:paraId="56826F63" w14:textId="77777777" w:rsidR="003C7FE0" w:rsidRPr="00AD1F33" w:rsidRDefault="003C7FE0" w:rsidP="003C7FE0">
            <w:pPr>
              <w:numPr>
                <w:ilvl w:val="0"/>
                <w:numId w:val="12"/>
              </w:numPr>
              <w:suppressAutoHyphens w:val="0"/>
              <w:spacing w:before="120" w:after="120" w:line="360" w:lineRule="auto"/>
              <w:rPr>
                <w:rFonts w:ascii="Arial" w:hAnsi="Arial" w:cs="Arial"/>
                <w:szCs w:val="22"/>
                <w:lang w:eastAsia="de-DE"/>
              </w:rPr>
            </w:pPr>
            <w:r w:rsidRPr="00AD1F33">
              <w:rPr>
                <w:rFonts w:ascii="Arial" w:hAnsi="Arial" w:cs="Arial"/>
                <w:szCs w:val="22"/>
                <w:lang w:eastAsia="de-DE"/>
              </w:rPr>
              <w:t>Angaben zu den Gesamtjahresumsätzen und den Jahresumsätzen aus vergleichbaren Aufträgen der letzten drei abgeschlossenen Geschäftsjahre gemäß Formblatt 2.4</w:t>
            </w:r>
          </w:p>
          <w:p w14:paraId="64F81E60" w14:textId="77777777" w:rsidR="003C7FE0" w:rsidRPr="00AD1F33" w:rsidRDefault="003C7FE0" w:rsidP="003C7FE0">
            <w:pPr>
              <w:numPr>
                <w:ilvl w:val="0"/>
                <w:numId w:val="12"/>
              </w:numPr>
              <w:suppressAutoHyphens w:val="0"/>
              <w:spacing w:before="120" w:after="120" w:line="360" w:lineRule="auto"/>
              <w:rPr>
                <w:rFonts w:ascii="Arial" w:hAnsi="Arial" w:cs="Arial"/>
                <w:szCs w:val="22"/>
                <w:lang w:eastAsia="de-DE"/>
              </w:rPr>
            </w:pPr>
            <w:r w:rsidRPr="00AD1F33">
              <w:rPr>
                <w:rFonts w:ascii="Arial" w:hAnsi="Arial" w:cs="Arial"/>
                <w:szCs w:val="22"/>
                <w:lang w:eastAsia="de-DE"/>
              </w:rPr>
              <w:t>Nachweis des Vorliegens der Berufsqualifikation (Berechtigung zur Führung der Berufsbezeichnung „Ingenieur" oder „Beratender Ingenieur" gemäß § 75 Abs. 2 VgV; bei juristischen Personen: namentliche Benennung des verantwortlichen Berufsträgers)</w:t>
            </w:r>
          </w:p>
          <w:p w14:paraId="1DB23AEB" w14:textId="77777777" w:rsidR="003C7FE0" w:rsidRPr="00AD1F33" w:rsidRDefault="003C7FE0" w:rsidP="003C7FE0">
            <w:pPr>
              <w:numPr>
                <w:ilvl w:val="0"/>
                <w:numId w:val="12"/>
              </w:numPr>
              <w:suppressAutoHyphens w:val="0"/>
              <w:spacing w:before="120" w:after="120" w:line="360" w:lineRule="auto"/>
              <w:rPr>
                <w:rFonts w:ascii="Arial" w:hAnsi="Arial" w:cs="Arial"/>
                <w:szCs w:val="22"/>
                <w:lang w:eastAsia="de-DE"/>
              </w:rPr>
            </w:pPr>
            <w:r w:rsidRPr="00AD1F33">
              <w:rPr>
                <w:rFonts w:ascii="Arial" w:hAnsi="Arial" w:cs="Arial"/>
                <w:szCs w:val="22"/>
                <w:lang w:eastAsia="de-DE"/>
              </w:rPr>
              <w:t>Namentliche Benennung der vorgesehenen Projektleitung mit Angabe der fachlichen Qualifikation und einschlägigen Berufserfahrung gemäß Ziffer 3.3</w:t>
            </w:r>
          </w:p>
          <w:p w14:paraId="598B0E61" w14:textId="77777777" w:rsidR="003C7FE0" w:rsidRPr="00AD1F33" w:rsidRDefault="003C7FE0" w:rsidP="003C7FE0">
            <w:pPr>
              <w:numPr>
                <w:ilvl w:val="0"/>
                <w:numId w:val="12"/>
              </w:numPr>
              <w:suppressAutoHyphens w:val="0"/>
              <w:spacing w:before="120" w:after="120" w:line="360" w:lineRule="auto"/>
              <w:rPr>
                <w:rFonts w:ascii="Arial" w:hAnsi="Arial" w:cs="Arial"/>
                <w:szCs w:val="22"/>
                <w:lang w:eastAsia="de-DE"/>
              </w:rPr>
            </w:pPr>
            <w:r w:rsidRPr="00AD1F33">
              <w:rPr>
                <w:rFonts w:ascii="Arial" w:hAnsi="Arial" w:cs="Arial"/>
                <w:szCs w:val="22"/>
                <w:lang w:eastAsia="de-DE"/>
              </w:rPr>
              <w:t xml:space="preserve">Nachweis der Berufshaftpflichtversicherung: </w:t>
            </w:r>
          </w:p>
          <w:p w14:paraId="46B3843E" w14:textId="77777777" w:rsidR="003C7FE0" w:rsidRPr="00AD1F33" w:rsidRDefault="003C7FE0" w:rsidP="003C7FE0">
            <w:pPr>
              <w:numPr>
                <w:ilvl w:val="1"/>
                <w:numId w:val="12"/>
              </w:numPr>
              <w:suppressAutoHyphens w:val="0"/>
              <w:spacing w:before="120" w:after="120" w:line="360" w:lineRule="auto"/>
              <w:rPr>
                <w:rFonts w:ascii="Arial" w:hAnsi="Arial" w:cs="Arial"/>
                <w:szCs w:val="22"/>
                <w:lang w:eastAsia="de-DE"/>
              </w:rPr>
            </w:pPr>
            <w:r w:rsidRPr="00AD1F33">
              <w:rPr>
                <w:rFonts w:ascii="Arial" w:hAnsi="Arial" w:cs="Arial"/>
                <w:szCs w:val="22"/>
                <w:lang w:eastAsia="de-DE"/>
              </w:rPr>
              <w:t>Sofern eine Versicherung mit den geforderten Mindestdeckungssummen gemäß Ziffer 3.2 zum Zeitpunkt der Angebotsabgabe bereits besteht: Kopie der aktuellen Versicherungsbestätigung mit Angabe der versicherten Risiken und Deckungssummen.</w:t>
            </w:r>
          </w:p>
          <w:p w14:paraId="6FE512AA" w14:textId="77777777" w:rsidR="003C7FE0" w:rsidRPr="00AD1F33" w:rsidRDefault="003C7FE0" w:rsidP="003C7FE0">
            <w:pPr>
              <w:numPr>
                <w:ilvl w:val="1"/>
                <w:numId w:val="12"/>
              </w:numPr>
              <w:suppressAutoHyphens w:val="0"/>
              <w:spacing w:before="120" w:after="120" w:line="360" w:lineRule="auto"/>
              <w:rPr>
                <w:rFonts w:ascii="Arial" w:hAnsi="Arial" w:cs="Arial"/>
                <w:szCs w:val="22"/>
                <w:lang w:eastAsia="de-DE"/>
              </w:rPr>
            </w:pPr>
            <w:r w:rsidRPr="00AD1F33">
              <w:rPr>
                <w:rFonts w:ascii="Arial" w:hAnsi="Arial" w:cs="Arial"/>
                <w:szCs w:val="22"/>
                <w:lang w:eastAsia="de-DE"/>
              </w:rPr>
              <w:t>Sofern eine entsprechende Versicherung zum Zeitpunkt der Angebotsabgabe noch nicht besteht: Eigenerklärung des Bieters, dass der Nachweis auf Anforderung vor Zuschlagserteilung vorgelegt wird. Der Nachweis ist in diesem Fall Zuschlagsvoraussetzung.</w:t>
            </w:r>
          </w:p>
          <w:p w14:paraId="446A2269" w14:textId="38EFED90" w:rsidR="007B20C1" w:rsidRPr="00AD1F33" w:rsidRDefault="003C7FE0" w:rsidP="003C7FE0">
            <w:pPr>
              <w:numPr>
                <w:ilvl w:val="0"/>
                <w:numId w:val="12"/>
              </w:numPr>
              <w:suppressAutoHyphens w:val="0"/>
              <w:spacing w:before="120" w:after="120" w:line="360" w:lineRule="auto"/>
              <w:rPr>
                <w:rFonts w:ascii="Times New Roman" w:hAnsi="Times New Roman"/>
                <w:sz w:val="24"/>
                <w:szCs w:val="24"/>
                <w:lang w:eastAsia="de-DE"/>
              </w:rPr>
            </w:pPr>
            <w:r w:rsidRPr="00AD1F33">
              <w:rPr>
                <w:rFonts w:ascii="Arial" w:hAnsi="Arial" w:cs="Arial"/>
                <w:szCs w:val="22"/>
                <w:lang w:eastAsia="de-DE"/>
              </w:rPr>
              <w:lastRenderedPageBreak/>
              <w:t>Weitere Nachweise und Erklärungen, sofern im Einzelfall gefordert (z.B. Nachweise zur Selbstreinigung gemäß § 125 GWB, falls Ausschlussgründe vorliegen)</w:t>
            </w:r>
          </w:p>
        </w:tc>
      </w:tr>
      <w:tr w:rsidR="007B20C1" w:rsidRPr="00AD1F33" w14:paraId="6FDA1953" w14:textId="77777777" w:rsidTr="00DC4782">
        <w:trPr>
          <w:trHeight w:val="440"/>
        </w:trPr>
        <w:tc>
          <w:tcPr>
            <w:tcW w:w="2410" w:type="dxa"/>
            <w:tcBorders>
              <w:top w:val="single" w:sz="4" w:space="0" w:color="000000"/>
              <w:left w:val="single" w:sz="4" w:space="0" w:color="000000"/>
              <w:bottom w:val="single" w:sz="4" w:space="0" w:color="000000"/>
              <w:right w:val="single" w:sz="4" w:space="0" w:color="000000"/>
            </w:tcBorders>
          </w:tcPr>
          <w:p w14:paraId="2318C89C" w14:textId="77777777" w:rsidR="007B20C1" w:rsidRPr="00AD1F33" w:rsidRDefault="007B20C1" w:rsidP="00DC4782">
            <w:pPr>
              <w:spacing w:before="120" w:after="120" w:line="360" w:lineRule="auto"/>
              <w:rPr>
                <w:rFonts w:ascii="Arial" w:hAnsi="Arial" w:cs="Arial"/>
                <w:b/>
              </w:rPr>
            </w:pPr>
            <w:r w:rsidRPr="00AD1F33">
              <w:rPr>
                <w:rFonts w:ascii="Arial" w:hAnsi="Arial" w:cs="Arial"/>
                <w:b/>
              </w:rPr>
              <w:lastRenderedPageBreak/>
              <w:t>Formblatt 2.5</w:t>
            </w:r>
          </w:p>
        </w:tc>
        <w:tc>
          <w:tcPr>
            <w:tcW w:w="6091" w:type="dxa"/>
            <w:tcBorders>
              <w:top w:val="single" w:sz="4" w:space="0" w:color="000000"/>
              <w:left w:val="single" w:sz="4" w:space="0" w:color="000000"/>
              <w:bottom w:val="single" w:sz="4" w:space="0" w:color="000000"/>
              <w:right w:val="single" w:sz="4" w:space="0" w:color="000000"/>
            </w:tcBorders>
          </w:tcPr>
          <w:p w14:paraId="08D4C811" w14:textId="77777777" w:rsidR="007B20C1" w:rsidRPr="00AD1F33" w:rsidRDefault="007B20C1" w:rsidP="00DC4782">
            <w:pPr>
              <w:keepNext/>
              <w:spacing w:before="120" w:after="120" w:line="360" w:lineRule="auto"/>
              <w:rPr>
                <w:rFonts w:ascii="Arial" w:hAnsi="Arial" w:cs="Arial"/>
                <w:b/>
              </w:rPr>
            </w:pPr>
            <w:r w:rsidRPr="00AD1F33">
              <w:rPr>
                <w:rFonts w:ascii="Arial" w:hAnsi="Arial" w:cs="Arial"/>
                <w:b/>
              </w:rPr>
              <w:t>Referenzen</w:t>
            </w:r>
          </w:p>
          <w:p w14:paraId="660BDAE9" w14:textId="1A1A15E7" w:rsidR="007B20C1" w:rsidRPr="00AD1F33" w:rsidRDefault="00985CC7" w:rsidP="00DC4782">
            <w:pPr>
              <w:spacing w:before="120" w:after="120" w:line="360" w:lineRule="auto"/>
              <w:rPr>
                <w:rFonts w:ascii="Arial" w:hAnsi="Arial" w:cs="Arial"/>
              </w:rPr>
            </w:pPr>
            <w:r w:rsidRPr="00AD1F33">
              <w:rPr>
                <w:rFonts w:ascii="Arial" w:hAnsi="Arial" w:cs="Arial"/>
              </w:rPr>
              <w:t>Mit dem Formblatt sind für mindestens drei vergleichbare Projekte die geforderten Referenzangaben vollständig einzureichen. Die Referenzen müssen die Mindestanforderungen gemäß Ziffer 3.3 erfüllen. Unvollständige oder fehlende Angaben können zum Ausschluss führen. Das ausgefüllte Formblatt ist dem Angebot als Anlage beizufügen.</w:t>
            </w:r>
          </w:p>
        </w:tc>
      </w:tr>
      <w:tr w:rsidR="007B20C1" w:rsidRPr="00AD1F33" w14:paraId="49600A68" w14:textId="77777777" w:rsidTr="00DC4782">
        <w:trPr>
          <w:trHeight w:val="440"/>
        </w:trPr>
        <w:tc>
          <w:tcPr>
            <w:tcW w:w="2410" w:type="dxa"/>
            <w:tcBorders>
              <w:top w:val="single" w:sz="4" w:space="0" w:color="000000"/>
              <w:left w:val="single" w:sz="4" w:space="0" w:color="000000"/>
              <w:bottom w:val="single" w:sz="4" w:space="0" w:color="000000"/>
              <w:right w:val="single" w:sz="4" w:space="0" w:color="000000"/>
            </w:tcBorders>
          </w:tcPr>
          <w:p w14:paraId="1D0A6896" w14:textId="77777777" w:rsidR="007B20C1" w:rsidRPr="00AD1F33" w:rsidRDefault="007B20C1" w:rsidP="00DC4782">
            <w:pPr>
              <w:spacing w:before="120" w:after="120" w:line="360" w:lineRule="auto"/>
              <w:rPr>
                <w:rFonts w:ascii="Arial" w:hAnsi="Arial" w:cs="Arial"/>
                <w:b/>
              </w:rPr>
            </w:pPr>
            <w:r w:rsidRPr="00AD1F33">
              <w:rPr>
                <w:rFonts w:ascii="Arial" w:hAnsi="Arial" w:cs="Arial"/>
                <w:b/>
              </w:rPr>
              <w:t>Formblatt 2.9</w:t>
            </w:r>
          </w:p>
        </w:tc>
        <w:tc>
          <w:tcPr>
            <w:tcW w:w="6091" w:type="dxa"/>
            <w:tcBorders>
              <w:top w:val="single" w:sz="4" w:space="0" w:color="000000"/>
              <w:left w:val="single" w:sz="4" w:space="0" w:color="000000"/>
              <w:bottom w:val="single" w:sz="4" w:space="0" w:color="000000"/>
              <w:right w:val="single" w:sz="4" w:space="0" w:color="000000"/>
            </w:tcBorders>
          </w:tcPr>
          <w:p w14:paraId="335AF778" w14:textId="77777777" w:rsidR="007B20C1" w:rsidRPr="00AD1F33" w:rsidRDefault="007B20C1" w:rsidP="00DC4782">
            <w:pPr>
              <w:keepNext/>
              <w:spacing w:before="120" w:after="120" w:line="360" w:lineRule="auto"/>
              <w:rPr>
                <w:rFonts w:ascii="Arial" w:hAnsi="Arial" w:cs="Arial"/>
                <w:b/>
              </w:rPr>
            </w:pPr>
            <w:r w:rsidRPr="00AD1F33">
              <w:rPr>
                <w:rFonts w:ascii="Arial" w:hAnsi="Arial" w:cs="Arial"/>
                <w:b/>
              </w:rPr>
              <w:t>Russlandsanktionen</w:t>
            </w:r>
          </w:p>
          <w:p w14:paraId="43D47A2E" w14:textId="08C62F09" w:rsidR="007B20C1" w:rsidRPr="00AD1F33" w:rsidRDefault="00985CC7" w:rsidP="00DC4782">
            <w:pPr>
              <w:spacing w:before="120" w:after="120" w:line="360" w:lineRule="auto"/>
              <w:rPr>
                <w:rFonts w:ascii="Arial" w:hAnsi="Arial" w:cs="Arial"/>
              </w:rPr>
            </w:pPr>
            <w:r w:rsidRPr="00AD1F33">
              <w:rPr>
                <w:rFonts w:ascii="Arial" w:hAnsi="Arial" w:cs="Arial"/>
              </w:rPr>
              <w:t>Das Formblatt ist von jedem Bieter, jedem Mitglied einer Bietergemeinschaft sowie jedem benannten Unterauftragnehmer auszufüllen und zu unterzeichnen. Es enthält die verbindliche Erklärung, dass weder das Unternehmen selbst noch mit ihm verbundene Personen oder Organisationen unter die restriktiven Maßnahmen der einschlägigen EU-Verordnungen fallen. Fehlt die unterzeichnete Erklärung oder bestehen Zweifel an der Einhaltung der Sanktionsvorschriften, kann das Angebot vom Verfahren ausgeschlossen werden.</w:t>
            </w:r>
          </w:p>
        </w:tc>
      </w:tr>
    </w:tbl>
    <w:p w14:paraId="047C0D81" w14:textId="77777777" w:rsidR="007B20C1" w:rsidRPr="00AD1F33" w:rsidRDefault="007B20C1" w:rsidP="00985CC7">
      <w:pPr>
        <w:keepNext/>
        <w:spacing w:before="120" w:after="120" w:line="360" w:lineRule="auto"/>
        <w:ind w:left="567"/>
        <w:rPr>
          <w:rFonts w:ascii="Arial" w:hAnsi="Arial" w:cs="Arial"/>
        </w:rPr>
      </w:pPr>
      <w:r w:rsidRPr="00AD1F33">
        <w:rPr>
          <w:rFonts w:ascii="Arial" w:hAnsi="Arial" w:cs="Arial"/>
        </w:rPr>
        <w:t xml:space="preserve">Folgende Unterlagen sind mit dem Angebot einzureichen, </w:t>
      </w:r>
      <w:r w:rsidRPr="00AD1F33">
        <w:rPr>
          <w:rFonts w:ascii="Arial" w:hAnsi="Arial" w:cs="Arial"/>
          <w:u w:val="single"/>
        </w:rPr>
        <w:t>soweit sie einschlägig sind</w:t>
      </w:r>
      <w:r w:rsidRPr="00AD1F33">
        <w:rPr>
          <w:rFonts w:ascii="Arial" w:hAnsi="Arial" w:cs="Arial"/>
        </w:rPr>
        <w:t>:</w:t>
      </w:r>
    </w:p>
    <w:tbl>
      <w:tblPr>
        <w:tblStyle w:val="Tabellenraster"/>
        <w:tblW w:w="8500" w:type="dxa"/>
        <w:tblInd w:w="567" w:type="dxa"/>
        <w:tblLayout w:type="fixed"/>
        <w:tblLook w:val="04A0" w:firstRow="1" w:lastRow="0" w:firstColumn="1" w:lastColumn="0" w:noHBand="0" w:noVBand="1"/>
      </w:tblPr>
      <w:tblGrid>
        <w:gridCol w:w="2405"/>
        <w:gridCol w:w="6095"/>
      </w:tblGrid>
      <w:tr w:rsidR="007B20C1" w:rsidRPr="00AD1F33" w14:paraId="33876536" w14:textId="77777777" w:rsidTr="00DC4782">
        <w:tc>
          <w:tcPr>
            <w:tcW w:w="2405" w:type="dxa"/>
          </w:tcPr>
          <w:p w14:paraId="261EB98C" w14:textId="77777777" w:rsidR="007B20C1" w:rsidRPr="00AD1F33" w:rsidRDefault="007B20C1" w:rsidP="00DC4782">
            <w:pPr>
              <w:spacing w:before="120" w:after="120" w:line="360" w:lineRule="auto"/>
              <w:rPr>
                <w:rFonts w:ascii="Arial" w:hAnsi="Arial" w:cs="Arial"/>
              </w:rPr>
            </w:pPr>
            <w:r w:rsidRPr="00AD1F33">
              <w:rPr>
                <w:rFonts w:ascii="Arial" w:hAnsi="Arial" w:cs="Arial"/>
                <w:b/>
                <w:bCs/>
                <w:szCs w:val="22"/>
              </w:rPr>
              <w:t xml:space="preserve">Formblatt 2.6 </w:t>
            </w:r>
          </w:p>
        </w:tc>
        <w:tc>
          <w:tcPr>
            <w:tcW w:w="6095" w:type="dxa"/>
          </w:tcPr>
          <w:p w14:paraId="03C105BB" w14:textId="77777777" w:rsidR="007B20C1" w:rsidRPr="00AD1F33" w:rsidRDefault="007B20C1" w:rsidP="00DC4782">
            <w:pPr>
              <w:keepNext/>
              <w:spacing w:before="120" w:after="120" w:line="360" w:lineRule="auto"/>
              <w:rPr>
                <w:rFonts w:ascii="Arial" w:hAnsi="Arial" w:cs="Arial"/>
                <w:szCs w:val="22"/>
              </w:rPr>
            </w:pPr>
            <w:r w:rsidRPr="00AD1F33">
              <w:rPr>
                <w:rFonts w:ascii="Arial" w:hAnsi="Arial" w:cs="Arial"/>
                <w:b/>
              </w:rPr>
              <w:t>Bietergemeinschaftserklärung</w:t>
            </w:r>
            <w:r w:rsidRPr="00AD1F33">
              <w:rPr>
                <w:rFonts w:ascii="Arial" w:hAnsi="Arial" w:cs="Arial"/>
                <w:b/>
                <w:bCs/>
                <w:szCs w:val="22"/>
              </w:rPr>
              <w:t xml:space="preserve"> </w:t>
            </w:r>
          </w:p>
          <w:p w14:paraId="1F05908E" w14:textId="1CC2B95D" w:rsidR="007B20C1" w:rsidRPr="00AD1F33" w:rsidRDefault="00AC394B" w:rsidP="00DC4782">
            <w:pPr>
              <w:spacing w:before="120" w:after="120" w:line="360" w:lineRule="auto"/>
              <w:rPr>
                <w:rFonts w:ascii="Arial" w:hAnsi="Arial" w:cs="Arial"/>
              </w:rPr>
            </w:pPr>
            <w:r w:rsidRPr="00AD1F33">
              <w:rPr>
                <w:rFonts w:ascii="Arial" w:hAnsi="Arial" w:cs="Arial"/>
                <w:szCs w:val="22"/>
              </w:rPr>
              <w:t>Das Formblatt ist nur im Fall von Bietergemeinschaften auszufüllen. Anzugeben sind sämtliche Mitglieder der Bietergemeinschaft sowie ein bevollmächtigter Vertreter, der die Bietergemeinschaft in allen Angelegenheiten des Vergabeverfahrens und im Auftragsfall gegenüber der Auftraggeberin rechtsverbindlich vertritt.</w:t>
            </w:r>
          </w:p>
        </w:tc>
      </w:tr>
      <w:tr w:rsidR="007B20C1" w:rsidRPr="00AD1F33" w14:paraId="14476249" w14:textId="77777777" w:rsidTr="00DC4782">
        <w:tc>
          <w:tcPr>
            <w:tcW w:w="2405" w:type="dxa"/>
          </w:tcPr>
          <w:p w14:paraId="6C42A959" w14:textId="77777777" w:rsidR="007B20C1" w:rsidRPr="00AD1F33" w:rsidRDefault="007B20C1" w:rsidP="00DC4782">
            <w:pPr>
              <w:spacing w:before="120" w:after="120" w:line="360" w:lineRule="auto"/>
              <w:rPr>
                <w:rFonts w:ascii="Arial" w:hAnsi="Arial" w:cs="Arial"/>
              </w:rPr>
            </w:pPr>
            <w:r w:rsidRPr="00AD1F33">
              <w:rPr>
                <w:rFonts w:ascii="Arial" w:hAnsi="Arial" w:cs="Arial"/>
                <w:b/>
                <w:bCs/>
                <w:szCs w:val="22"/>
              </w:rPr>
              <w:lastRenderedPageBreak/>
              <w:t>Formblatt 2.7</w:t>
            </w:r>
          </w:p>
        </w:tc>
        <w:tc>
          <w:tcPr>
            <w:tcW w:w="6095" w:type="dxa"/>
          </w:tcPr>
          <w:p w14:paraId="5467A847" w14:textId="77777777" w:rsidR="007B20C1" w:rsidRPr="00AD1F33" w:rsidRDefault="007B20C1" w:rsidP="00DC4782">
            <w:pPr>
              <w:keepNext/>
              <w:spacing w:before="120" w:after="120" w:line="360" w:lineRule="auto"/>
              <w:rPr>
                <w:rFonts w:ascii="Arial" w:hAnsi="Arial" w:cs="Arial"/>
                <w:b/>
              </w:rPr>
            </w:pPr>
            <w:r w:rsidRPr="00AD1F33">
              <w:rPr>
                <w:rFonts w:ascii="Arial" w:hAnsi="Arial" w:cs="Arial"/>
                <w:b/>
              </w:rPr>
              <w:t xml:space="preserve">Nachunternehmer und Eignungsleihe </w:t>
            </w:r>
          </w:p>
          <w:p w14:paraId="27AF89D4" w14:textId="1FDDD861" w:rsidR="007B20C1" w:rsidRPr="00AD1F33" w:rsidRDefault="00AC394B" w:rsidP="00DC4782">
            <w:pPr>
              <w:spacing w:before="120" w:after="120" w:line="360" w:lineRule="auto"/>
              <w:rPr>
                <w:rFonts w:ascii="Arial" w:hAnsi="Arial" w:cs="Arial"/>
              </w:rPr>
            </w:pPr>
            <w:r w:rsidRPr="00AD1F33">
              <w:rPr>
                <w:rFonts w:ascii="Arial" w:hAnsi="Arial" w:cs="Arial"/>
                <w:szCs w:val="22"/>
              </w:rPr>
              <w:t xml:space="preserve">Das Formblatt ist nur auszufüllen und einzureichen, wenn Unterauftragnehmer eingebunden oder eine Eignungsleihe in Anspruch genommen </w:t>
            </w:r>
            <w:proofErr w:type="gramStart"/>
            <w:r w:rsidRPr="00AD1F33">
              <w:rPr>
                <w:rFonts w:ascii="Arial" w:hAnsi="Arial" w:cs="Arial"/>
                <w:szCs w:val="22"/>
              </w:rPr>
              <w:t>wird</w:t>
            </w:r>
            <w:proofErr w:type="gramEnd"/>
            <w:r w:rsidRPr="00AD1F33">
              <w:rPr>
                <w:rFonts w:ascii="Arial" w:hAnsi="Arial" w:cs="Arial"/>
                <w:szCs w:val="22"/>
              </w:rPr>
              <w:t>. Anzugeben sind die Leistungen, die von Unterauftragnehmern erbracht werden sollen, bzw. die Art und der Umfang der Eignungsleihe und der Leistungen des eignungsleihenden Unternehmens. Im Fall der Eignungsleihe ist nachzuweisen, dass dem Bieter die Kapazitäten des anderen Unternehmens tatsächlich zur Verfügung stehen. Hierfür ist das Formblatt 2.8 „Verpflichtungserklärung" zu verwenden.</w:t>
            </w:r>
          </w:p>
        </w:tc>
      </w:tr>
      <w:tr w:rsidR="007B20C1" w:rsidRPr="00AD1F33" w14:paraId="4D7846BE" w14:textId="77777777" w:rsidTr="00DC4782">
        <w:tc>
          <w:tcPr>
            <w:tcW w:w="2405" w:type="dxa"/>
          </w:tcPr>
          <w:p w14:paraId="11923CF3" w14:textId="77777777" w:rsidR="007B20C1" w:rsidRPr="00AD1F33" w:rsidRDefault="007B20C1" w:rsidP="00DC4782">
            <w:pPr>
              <w:spacing w:before="120" w:after="120" w:line="360" w:lineRule="auto"/>
              <w:rPr>
                <w:rFonts w:ascii="Arial" w:hAnsi="Arial" w:cs="Arial"/>
              </w:rPr>
            </w:pPr>
            <w:r w:rsidRPr="00AD1F33">
              <w:rPr>
                <w:rFonts w:ascii="Arial" w:hAnsi="Arial" w:cs="Arial"/>
                <w:b/>
                <w:bCs/>
                <w:szCs w:val="22"/>
              </w:rPr>
              <w:t>Formblatt 2.8</w:t>
            </w:r>
          </w:p>
        </w:tc>
        <w:tc>
          <w:tcPr>
            <w:tcW w:w="6095" w:type="dxa"/>
          </w:tcPr>
          <w:p w14:paraId="3238F31F" w14:textId="77777777" w:rsidR="007B20C1" w:rsidRPr="00AD1F33" w:rsidRDefault="007B20C1" w:rsidP="00DC4782">
            <w:pPr>
              <w:keepNext/>
              <w:spacing w:before="120" w:after="120" w:line="360" w:lineRule="auto"/>
              <w:rPr>
                <w:rFonts w:ascii="Arial" w:hAnsi="Arial" w:cs="Arial"/>
                <w:b/>
              </w:rPr>
            </w:pPr>
            <w:r w:rsidRPr="00AD1F33">
              <w:rPr>
                <w:rFonts w:ascii="Arial" w:hAnsi="Arial" w:cs="Arial"/>
                <w:b/>
              </w:rPr>
              <w:t xml:space="preserve">Verpflichtungserklärung Eignungsleihe </w:t>
            </w:r>
          </w:p>
          <w:p w14:paraId="4DD3B29E" w14:textId="56C432CD" w:rsidR="007B20C1" w:rsidRPr="00AD1F33" w:rsidRDefault="00AC394B" w:rsidP="00DC4782">
            <w:pPr>
              <w:spacing w:before="120" w:after="120" w:line="360" w:lineRule="auto"/>
              <w:rPr>
                <w:rFonts w:ascii="Arial" w:hAnsi="Arial" w:cs="Arial"/>
              </w:rPr>
            </w:pPr>
            <w:r w:rsidRPr="00AD1F33">
              <w:rPr>
                <w:rFonts w:ascii="Arial" w:hAnsi="Arial" w:cs="Arial"/>
                <w:szCs w:val="22"/>
              </w:rPr>
              <w:t>Das Formblatt ist im Fall der Eignungsleihe einzureichen. Das Unternehmen, auf dessen Eignung sich ein Bieter beruft, muss sich verpflichten, seine Leistungen bzw. Kapazitäten zur Verfügung zu stellen.</w:t>
            </w:r>
          </w:p>
        </w:tc>
      </w:tr>
    </w:tbl>
    <w:p w14:paraId="619DEE77" w14:textId="77777777" w:rsidR="00814D89" w:rsidRPr="00AD1F33" w:rsidRDefault="00814D89" w:rsidP="00814D89">
      <w:pPr>
        <w:spacing w:before="120" w:after="120" w:line="360" w:lineRule="auto"/>
        <w:ind w:left="567"/>
        <w:rPr>
          <w:rFonts w:ascii="Arial" w:hAnsi="Arial" w:cs="Arial"/>
        </w:rPr>
      </w:pPr>
      <w:r w:rsidRPr="00AD1F33">
        <w:rPr>
          <w:rFonts w:ascii="Arial" w:hAnsi="Arial" w:cs="Arial"/>
        </w:rPr>
        <w:t>Das Angebot muss vollständig sein; es muss die Preise und alle geforderten Angaben und Erklärungen enthalten; die Möglichkeit zu einer Nachforderung von Unterlagen bleibt unberührt.</w:t>
      </w:r>
    </w:p>
    <w:p w14:paraId="02D2454B" w14:textId="77777777" w:rsidR="00814D89" w:rsidRPr="00AD1F33" w:rsidRDefault="00814D89" w:rsidP="00814D89">
      <w:pPr>
        <w:spacing w:before="120" w:after="120" w:line="360" w:lineRule="auto"/>
        <w:ind w:left="567"/>
        <w:rPr>
          <w:rFonts w:ascii="Arial" w:hAnsi="Arial" w:cs="Arial"/>
        </w:rPr>
      </w:pPr>
      <w:r w:rsidRPr="00AD1F33">
        <w:rPr>
          <w:rFonts w:ascii="Arial" w:hAnsi="Arial" w:cs="Arial"/>
        </w:rPr>
        <w:t>Den Angeboten sind die Anforderungen der Leistungsbeschreibung sowie etwaige im Zuge des Vergabeverfahrens mitgeteilten Bieterinformationen und/oder neue Unterlagen zugrunde zu legen. Angebote, die diesen Anforderungen und/oder Erfordernissen hinsichtlich Vollständigkeit und Übereinstimmung mit den Vorgaben des Verfahrensleitfadens nicht entsprechen, können ausgeschlossen werden.</w:t>
      </w:r>
    </w:p>
    <w:p w14:paraId="6A0F3827" w14:textId="57B8FD9A" w:rsidR="0078761A" w:rsidRPr="00AD1F33" w:rsidRDefault="00814D89" w:rsidP="00814D89">
      <w:pPr>
        <w:spacing w:before="120" w:after="120" w:line="360" w:lineRule="auto"/>
        <w:ind w:left="567"/>
        <w:rPr>
          <w:rFonts w:ascii="Arial" w:hAnsi="Arial" w:cs="Arial"/>
        </w:rPr>
      </w:pPr>
      <w:r w:rsidRPr="00AD1F33">
        <w:rPr>
          <w:rFonts w:ascii="Arial" w:hAnsi="Arial" w:cs="Arial"/>
        </w:rPr>
        <w:t>Änderungen und Ergänzungen an den Vergabeunterlagen, insbesondere der Leistungsbeschreibung und den Vertragsbedingungen, sind unzulässig.</w:t>
      </w:r>
    </w:p>
    <w:p w14:paraId="6A0F3828" w14:textId="43016636" w:rsidR="0078761A" w:rsidRPr="00AD1F33" w:rsidRDefault="005F4EE4">
      <w:pPr>
        <w:pStyle w:val="berschrift1"/>
        <w:spacing w:before="240" w:after="240" w:line="360" w:lineRule="auto"/>
        <w:ind w:hanging="567"/>
        <w:rPr>
          <w:rFonts w:ascii="Arial" w:eastAsiaTheme="minorHAnsi" w:hAnsi="Arial" w:cs="Arial"/>
        </w:rPr>
      </w:pPr>
      <w:bookmarkStart w:id="59" w:name="_Toc214641445"/>
      <w:bookmarkStart w:id="60" w:name="_Toc230266767"/>
      <w:r w:rsidRPr="00AD1F33">
        <w:rPr>
          <w:rFonts w:ascii="Arial" w:hAnsi="Arial" w:cs="Arial"/>
        </w:rPr>
        <w:lastRenderedPageBreak/>
        <w:t>Rüge</w:t>
      </w:r>
      <w:r w:rsidR="0032610B" w:rsidRPr="00AD1F33">
        <w:rPr>
          <w:rFonts w:ascii="Arial" w:hAnsi="Arial" w:cs="Arial"/>
        </w:rPr>
        <w:t>obliegenheit</w:t>
      </w:r>
      <w:r w:rsidRPr="00AD1F33">
        <w:rPr>
          <w:rFonts w:ascii="Arial" w:hAnsi="Arial" w:cs="Arial"/>
        </w:rPr>
        <w:t xml:space="preserve"> und Rechtschutz</w:t>
      </w:r>
      <w:bookmarkEnd w:id="59"/>
      <w:bookmarkEnd w:id="60"/>
      <w:r w:rsidRPr="00AD1F33">
        <w:rPr>
          <w:rFonts w:ascii="Arial" w:hAnsi="Arial" w:cs="Arial"/>
        </w:rPr>
        <w:t xml:space="preserve"> </w:t>
      </w:r>
    </w:p>
    <w:p w14:paraId="6A0F3829"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61" w:name="_Toc214641446"/>
      <w:bookmarkStart w:id="62" w:name="_Toc230266768"/>
      <w:r w:rsidRPr="00AD1F33">
        <w:rPr>
          <w:rFonts w:ascii="Arial" w:hAnsi="Arial" w:cs="Arial"/>
        </w:rPr>
        <w:t>Prüfung der Vergabeunterlagen und Meldung etwaiger Unklarheiten</w:t>
      </w:r>
      <w:bookmarkEnd w:id="61"/>
      <w:bookmarkEnd w:id="62"/>
    </w:p>
    <w:p w14:paraId="6A0F382A" w14:textId="5DCB9394" w:rsidR="0078761A" w:rsidRPr="00AD1F33" w:rsidRDefault="00814D89">
      <w:pPr>
        <w:spacing w:before="120" w:after="120" w:line="360" w:lineRule="auto"/>
        <w:ind w:left="567"/>
        <w:rPr>
          <w:rFonts w:ascii="Arial" w:hAnsi="Arial" w:cs="Arial"/>
        </w:rPr>
      </w:pPr>
      <w:r w:rsidRPr="00AD1F33">
        <w:rPr>
          <w:rFonts w:ascii="Arial" w:hAnsi="Arial" w:cs="Arial"/>
        </w:rPr>
        <w:t>Die Vergabeunterlagen sind nach Erhalt durch die Bieter auf Vollständigkeit und Lesbarkeit zu prüfen. Enthalten die Vergabeunterlagen oder sonstige im Verfahren zugänglich gemachte Unterlagen Unklarheiten oder Verstöße gegen geltendes Recht, hat der Bieter die Vergabestelle unverzüglich – spätestens jedoch bis zum Ablauf der Angebotsfrist – schriftlich darauf hinzuweisen. Anderenfalls kann er sich auf diese Umstände nicht berufen.</w:t>
      </w:r>
    </w:p>
    <w:p w14:paraId="6A0F382B" w14:textId="77777777" w:rsidR="0078761A" w:rsidRPr="00AD1F33" w:rsidRDefault="005F4EE4">
      <w:pPr>
        <w:pStyle w:val="berschrift2"/>
        <w:numPr>
          <w:ilvl w:val="1"/>
          <w:numId w:val="3"/>
        </w:numPr>
        <w:spacing w:before="240" w:after="240" w:line="360" w:lineRule="auto"/>
        <w:ind w:hanging="567"/>
        <w:rPr>
          <w:rFonts w:ascii="Arial" w:hAnsi="Arial" w:cs="Arial"/>
        </w:rPr>
      </w:pPr>
      <w:bookmarkStart w:id="63" w:name="_Toc214641447"/>
      <w:bookmarkStart w:id="64" w:name="_Toc230266769"/>
      <w:r w:rsidRPr="00AD1F33">
        <w:rPr>
          <w:rFonts w:ascii="Arial" w:hAnsi="Arial" w:cs="Arial"/>
        </w:rPr>
        <w:t>Verfahrensrügen, Rechtsschutz</w:t>
      </w:r>
      <w:bookmarkEnd w:id="63"/>
      <w:bookmarkEnd w:id="64"/>
    </w:p>
    <w:p w14:paraId="6A0F382C" w14:textId="3E5EA8CB" w:rsidR="0078761A" w:rsidRPr="00AD1F33" w:rsidRDefault="00814D89">
      <w:pPr>
        <w:spacing w:before="120" w:after="120" w:line="360" w:lineRule="auto"/>
        <w:ind w:left="567"/>
        <w:rPr>
          <w:rFonts w:ascii="Arial" w:hAnsi="Arial" w:cs="Arial"/>
        </w:rPr>
      </w:pPr>
      <w:r w:rsidRPr="00AD1F33">
        <w:rPr>
          <w:rFonts w:ascii="Arial" w:hAnsi="Arial" w:cs="Arial"/>
        </w:rPr>
        <w:t>Interessierte Unternehmen und Bieter, die der Auffassung sind, in ihren Rechten nach § 97 Abs. 6 GWB verletzt zu sein, können sich an die zuständige Vergabekammer wenden:</w:t>
      </w:r>
    </w:p>
    <w:p w14:paraId="3FE21534" w14:textId="77777777" w:rsidR="00F86A47" w:rsidRPr="00AD1F33" w:rsidRDefault="00F86A47" w:rsidP="00F86A47">
      <w:pPr>
        <w:spacing w:before="0" w:after="0" w:line="360" w:lineRule="auto"/>
        <w:ind w:left="1418"/>
        <w:rPr>
          <w:rFonts w:ascii="Arial" w:hAnsi="Arial" w:cs="Arial"/>
        </w:rPr>
      </w:pPr>
      <w:r w:rsidRPr="00AD1F33">
        <w:rPr>
          <w:rFonts w:ascii="Arial" w:hAnsi="Arial" w:cs="Arial"/>
        </w:rPr>
        <w:t>Vergabekammer des Freistaates Sachsen</w:t>
      </w:r>
    </w:p>
    <w:p w14:paraId="5F543F22" w14:textId="77777777" w:rsidR="00F86A47" w:rsidRPr="00AD1F33" w:rsidRDefault="00F86A47" w:rsidP="00F86A47">
      <w:pPr>
        <w:spacing w:before="0" w:after="0" w:line="360" w:lineRule="auto"/>
        <w:ind w:left="1418"/>
        <w:rPr>
          <w:rFonts w:ascii="Arial" w:hAnsi="Arial" w:cs="Arial"/>
        </w:rPr>
      </w:pPr>
      <w:r w:rsidRPr="00AD1F33">
        <w:rPr>
          <w:rFonts w:ascii="Arial" w:hAnsi="Arial" w:cs="Arial"/>
        </w:rPr>
        <w:t>bei der Landesdirektion Sachsen</w:t>
      </w:r>
    </w:p>
    <w:p w14:paraId="3E06F3FD" w14:textId="77777777" w:rsidR="00F86A47" w:rsidRPr="00AD1F33" w:rsidRDefault="00F86A47" w:rsidP="00F86A47">
      <w:pPr>
        <w:spacing w:before="0" w:after="0" w:line="360" w:lineRule="auto"/>
        <w:ind w:left="1418"/>
        <w:rPr>
          <w:rFonts w:ascii="Arial" w:hAnsi="Arial" w:cs="Arial"/>
        </w:rPr>
      </w:pPr>
      <w:r w:rsidRPr="00AD1F33">
        <w:rPr>
          <w:rFonts w:ascii="Arial" w:hAnsi="Arial" w:cs="Arial"/>
        </w:rPr>
        <w:t>Braustraße 2</w:t>
      </w:r>
    </w:p>
    <w:p w14:paraId="5FD473EB" w14:textId="2BCAF552" w:rsidR="002F7905" w:rsidRPr="00AD1F33" w:rsidRDefault="00F86A47" w:rsidP="00F86A47">
      <w:pPr>
        <w:spacing w:before="0" w:after="0" w:line="360" w:lineRule="auto"/>
        <w:ind w:left="1418"/>
        <w:rPr>
          <w:rFonts w:ascii="Arial" w:hAnsi="Arial" w:cs="Arial"/>
        </w:rPr>
      </w:pPr>
      <w:r w:rsidRPr="00AD1F33">
        <w:rPr>
          <w:rFonts w:ascii="Arial" w:hAnsi="Arial" w:cs="Arial"/>
        </w:rPr>
        <w:t>04107 Leipzig</w:t>
      </w:r>
    </w:p>
    <w:p w14:paraId="1C67BB67" w14:textId="2DB26081" w:rsidR="00F86A47" w:rsidRPr="00AD1F33" w:rsidRDefault="00F86A47" w:rsidP="00F86A47">
      <w:pPr>
        <w:spacing w:before="0" w:after="0" w:line="360" w:lineRule="auto"/>
        <w:ind w:left="1418"/>
        <w:rPr>
          <w:rFonts w:ascii="Arial" w:hAnsi="Arial" w:cs="Arial"/>
        </w:rPr>
      </w:pPr>
      <w:r w:rsidRPr="00AD1F33">
        <w:rPr>
          <w:rFonts w:ascii="Arial" w:hAnsi="Arial" w:cs="Arial"/>
        </w:rPr>
        <w:t>Telefon: 0341 977-</w:t>
      </w:r>
      <w:r w:rsidR="00460308">
        <w:rPr>
          <w:rFonts w:ascii="Arial" w:hAnsi="Arial" w:cs="Arial"/>
        </w:rPr>
        <w:t>3800</w:t>
      </w:r>
    </w:p>
    <w:p w14:paraId="528D0D8C" w14:textId="77777777" w:rsidR="00F86A47" w:rsidRPr="00AD1F33" w:rsidRDefault="00F86A47" w:rsidP="00F86A47">
      <w:pPr>
        <w:spacing w:before="0" w:after="0" w:line="360" w:lineRule="auto"/>
        <w:ind w:left="1418"/>
        <w:rPr>
          <w:rFonts w:ascii="Arial" w:hAnsi="Arial" w:cs="Arial"/>
        </w:rPr>
      </w:pPr>
      <w:r w:rsidRPr="00AD1F33">
        <w:rPr>
          <w:rFonts w:ascii="Arial" w:hAnsi="Arial" w:cs="Arial"/>
        </w:rPr>
        <w:t>Telefax: 0341 977-1049</w:t>
      </w:r>
    </w:p>
    <w:p w14:paraId="655E514F" w14:textId="7D23C372" w:rsidR="00F86A47" w:rsidRPr="00AD1F33" w:rsidRDefault="00F86A47" w:rsidP="00F86A47">
      <w:pPr>
        <w:spacing w:before="0" w:after="0" w:line="360" w:lineRule="auto"/>
        <w:ind w:left="1418"/>
        <w:rPr>
          <w:rFonts w:ascii="Arial" w:hAnsi="Arial" w:cs="Arial"/>
        </w:rPr>
      </w:pPr>
      <w:r w:rsidRPr="00AD1F33">
        <w:rPr>
          <w:rFonts w:ascii="Arial" w:hAnsi="Arial" w:cs="Arial"/>
        </w:rPr>
        <w:t xml:space="preserve">E-Mail: </w:t>
      </w:r>
      <w:hyperlink r:id="rId12" w:history="1">
        <w:r w:rsidRPr="00AD1F33">
          <w:rPr>
            <w:rFonts w:ascii="Arial" w:hAnsi="Arial" w:cs="Arial"/>
          </w:rPr>
          <w:t>vergabekammer@lds.sachsen.de</w:t>
        </w:r>
      </w:hyperlink>
    </w:p>
    <w:p w14:paraId="6A0F3834" w14:textId="15504FA5" w:rsidR="0078761A" w:rsidRPr="00AD1F33" w:rsidRDefault="00CE6552" w:rsidP="00F86A47">
      <w:pPr>
        <w:spacing w:before="120" w:after="120" w:line="360" w:lineRule="auto"/>
        <w:ind w:left="567"/>
        <w:rPr>
          <w:rFonts w:ascii="Arial" w:hAnsi="Arial" w:cs="Arial"/>
        </w:rPr>
      </w:pPr>
      <w:r w:rsidRPr="00AD1F33">
        <w:rPr>
          <w:rFonts w:ascii="Arial" w:hAnsi="Arial" w:cs="Arial"/>
        </w:rPr>
        <w:t>Etwaige Verfahrensrügen sind eindeutig als solche zu kennzeichnen und an die Vergabestelle zu richten. Auf die Rügepflichten nach § 160 Abs. 3 GWB sowie auf die Rechtsbehelfsfrist des § 160 Abs. 3 Satz 1 Nr. 4 GWB wird ausdrücklich hingewiesen: Ein Antrag auf Nachprüfung ist unzulässig, soweit nach Eingang der Mitteilung des Auftraggebers, einer Rüge nicht abhelfen zu wollen, mehr als 15 Kalendertage vergangen sind.</w:t>
      </w:r>
    </w:p>
    <w:p w14:paraId="6A0F3836" w14:textId="450C376C" w:rsidR="0078761A" w:rsidRPr="00AD1F33" w:rsidRDefault="005F4EE4">
      <w:pPr>
        <w:spacing w:before="120" w:after="120" w:line="360" w:lineRule="auto"/>
        <w:ind w:left="567"/>
        <w:rPr>
          <w:rFonts w:ascii="Arial" w:hAnsi="Arial" w:cs="Arial"/>
        </w:rPr>
      </w:pPr>
      <w:r w:rsidRPr="00AD1F33">
        <w:rPr>
          <w:rFonts w:ascii="Arial" w:hAnsi="Arial" w:cs="Arial"/>
        </w:rPr>
        <w:t>§ 160 GWB lautet:</w:t>
      </w:r>
    </w:p>
    <w:p w14:paraId="6A0F3837" w14:textId="77777777" w:rsidR="0078761A" w:rsidRPr="00AD1F33" w:rsidRDefault="005F4EE4">
      <w:pPr>
        <w:spacing w:before="120" w:after="120" w:line="360" w:lineRule="auto"/>
        <w:ind w:left="709"/>
        <w:rPr>
          <w:rFonts w:ascii="Arial" w:hAnsi="Arial" w:cs="Arial"/>
          <w:i/>
        </w:rPr>
      </w:pPr>
      <w:r w:rsidRPr="00AD1F33">
        <w:rPr>
          <w:rFonts w:ascii="Arial" w:hAnsi="Arial" w:cs="Arial"/>
          <w:i/>
        </w:rPr>
        <w:t>„(1) Die Vergabekammer leitet ein Nachprüfungsverfahren nur auf Antrag ein.</w:t>
      </w:r>
    </w:p>
    <w:p w14:paraId="6A0F3838" w14:textId="77777777" w:rsidR="0078761A" w:rsidRPr="00AD1F33" w:rsidRDefault="005F4EE4">
      <w:pPr>
        <w:spacing w:before="120" w:after="120" w:line="360" w:lineRule="auto"/>
        <w:ind w:left="709"/>
        <w:rPr>
          <w:rFonts w:ascii="Arial" w:hAnsi="Arial" w:cs="Arial"/>
          <w:i/>
        </w:rPr>
      </w:pPr>
      <w:r w:rsidRPr="00AD1F33">
        <w:rPr>
          <w:rFonts w:ascii="Arial" w:hAnsi="Arial" w:cs="Arial"/>
          <w:i/>
        </w:rPr>
        <w:t xml:space="preserve">(2) Antragsbefugt ist jedes Unternehmen, das ein Interesse an dem öffentlichen Auftrag oder der Konzession hat und eine Verletzung in seinen Rechten nach § 97 Absatz 6 durch Nichtbeachtung von Vergabevorschriften geltend macht. Dabei ist darzulegen, </w:t>
      </w:r>
      <w:r w:rsidRPr="00AD1F33">
        <w:rPr>
          <w:rFonts w:ascii="Arial" w:hAnsi="Arial" w:cs="Arial"/>
          <w:i/>
        </w:rPr>
        <w:lastRenderedPageBreak/>
        <w:t>dass dem Unternehmen durch die behauptete Verletzung der Vergabevorschriften ein Schaden entstanden ist oder zu entstehen droht.</w:t>
      </w:r>
    </w:p>
    <w:p w14:paraId="6A0F3839" w14:textId="77777777" w:rsidR="0078761A" w:rsidRPr="00AD1F33" w:rsidRDefault="005F4EE4">
      <w:pPr>
        <w:spacing w:before="120" w:after="120" w:line="360" w:lineRule="auto"/>
        <w:ind w:left="709"/>
        <w:rPr>
          <w:rFonts w:ascii="Arial" w:hAnsi="Arial" w:cs="Arial"/>
          <w:i/>
        </w:rPr>
      </w:pPr>
      <w:r w:rsidRPr="00AD1F33">
        <w:rPr>
          <w:rFonts w:ascii="Arial" w:hAnsi="Arial" w:cs="Arial"/>
          <w:i/>
        </w:rPr>
        <w:t>(3) Der Antrag ist unzulässig, soweit</w:t>
      </w:r>
    </w:p>
    <w:p w14:paraId="6A0F383A" w14:textId="77777777" w:rsidR="0078761A" w:rsidRPr="00AD1F33" w:rsidRDefault="005F4EE4">
      <w:pPr>
        <w:spacing w:before="120" w:after="120" w:line="360" w:lineRule="auto"/>
        <w:ind w:left="709"/>
        <w:rPr>
          <w:rFonts w:ascii="Arial" w:hAnsi="Arial" w:cs="Arial"/>
          <w:i/>
        </w:rPr>
      </w:pPr>
      <w:r w:rsidRPr="00AD1F33">
        <w:rPr>
          <w:rFonts w:ascii="Arial" w:hAnsi="Arial" w:cs="Arial"/>
          <w:i/>
        </w:rPr>
        <w:t xml:space="preserve">1. der Antragsteller den geltend gemachten Verstoß gegen Vergabevorschriften vor Einreichen des Nachprüfungsantrags erkannt und gegenüber dem Auftraggeber nicht innerhalb einer Frist von zehn Kalendertagen gerügt hat; der Ablauf der Frist nach § 134 Absatz 2 bleibt unberührt, </w:t>
      </w:r>
    </w:p>
    <w:p w14:paraId="6A0F383B" w14:textId="77777777" w:rsidR="0078761A" w:rsidRPr="00AD1F33" w:rsidRDefault="005F4EE4">
      <w:pPr>
        <w:spacing w:before="120" w:after="120" w:line="360" w:lineRule="auto"/>
        <w:ind w:left="709"/>
        <w:rPr>
          <w:rFonts w:ascii="Arial" w:hAnsi="Arial" w:cs="Arial"/>
          <w:i/>
        </w:rPr>
      </w:pPr>
      <w:r w:rsidRPr="00AD1F33">
        <w:rPr>
          <w:rFonts w:ascii="Arial" w:hAnsi="Arial" w:cs="Arial"/>
          <w:i/>
        </w:rPr>
        <w:t>2. Verstöße gegen Vergabevorschriften, die aufgrund der Bekanntmachung erkennbar sind, nicht spätestens bis zum Ablauf der in der Bekanntmachung benannten Frist zur Bewerbung oder zur Angebotsabgabe gegenüber dem Auftraggeber gerügt werden,</w:t>
      </w:r>
    </w:p>
    <w:p w14:paraId="6A0F383C" w14:textId="77777777" w:rsidR="0078761A" w:rsidRPr="00AD1F33" w:rsidRDefault="005F4EE4">
      <w:pPr>
        <w:spacing w:before="120" w:after="120" w:line="360" w:lineRule="auto"/>
        <w:ind w:left="709"/>
        <w:rPr>
          <w:rFonts w:ascii="Arial" w:hAnsi="Arial" w:cs="Arial"/>
          <w:i/>
        </w:rPr>
      </w:pPr>
      <w:r w:rsidRPr="00AD1F33">
        <w:rPr>
          <w:rFonts w:ascii="Arial" w:hAnsi="Arial" w:cs="Arial"/>
          <w:i/>
        </w:rPr>
        <w:t>3. Verstöße gegen Vergabevorschriften, die erst in den Vergabeunterlagen erkennbar sind, nicht spätestens bis zum Ablauf der Frist zur Bewerbung oder zur Angebotsabgabe gegenüber dem Auftraggeber gerügt werden,</w:t>
      </w:r>
    </w:p>
    <w:p w14:paraId="6A0F383D" w14:textId="77777777" w:rsidR="0078761A" w:rsidRPr="00AD1F33" w:rsidRDefault="005F4EE4">
      <w:pPr>
        <w:spacing w:before="120" w:after="120" w:line="360" w:lineRule="auto"/>
        <w:ind w:left="709"/>
        <w:rPr>
          <w:rFonts w:ascii="Arial" w:hAnsi="Arial" w:cs="Arial"/>
          <w:i/>
        </w:rPr>
      </w:pPr>
      <w:r w:rsidRPr="00AD1F33">
        <w:rPr>
          <w:rFonts w:ascii="Arial" w:hAnsi="Arial" w:cs="Arial"/>
          <w:i/>
        </w:rPr>
        <w:t>4. mehr als 15 Kalendertage nach Eingang der Mitteilung des Auftraggebers, einer Rüge nicht abhelfen zu wollen, vergangen sind.</w:t>
      </w:r>
    </w:p>
    <w:p w14:paraId="26184380" w14:textId="744075C5" w:rsidR="00F34F43" w:rsidRPr="00A22613" w:rsidRDefault="005F4EE4" w:rsidP="00983940">
      <w:pPr>
        <w:spacing w:before="120" w:after="120" w:line="360" w:lineRule="auto"/>
        <w:ind w:left="709"/>
        <w:rPr>
          <w:rFonts w:ascii="Arial" w:hAnsi="Arial" w:cs="Arial"/>
          <w:i/>
        </w:rPr>
      </w:pPr>
      <w:r w:rsidRPr="00AD1F33">
        <w:rPr>
          <w:rFonts w:ascii="Arial" w:hAnsi="Arial" w:cs="Arial"/>
          <w:i/>
        </w:rPr>
        <w:t>Satz 1 gilt nicht bei einem Antrag auf Feststellung der Unwirksamkeit des Vertrags nach § 135 Absatz 1 Nummer 2. § 134 Absatz 1 Satz 2 bleibt unberührt.“</w:t>
      </w:r>
    </w:p>
    <w:sectPr w:rsidR="00F34F43" w:rsidRPr="00A22613">
      <w:headerReference w:type="default" r:id="rId13"/>
      <w:footerReference w:type="default" r:id="rId14"/>
      <w:headerReference w:type="first" r:id="rId15"/>
      <w:footerReference w:type="first" r:id="rId16"/>
      <w:pgSz w:w="11906" w:h="16838"/>
      <w:pgMar w:top="1673" w:right="1416" w:bottom="1134" w:left="1417" w:header="683" w:footer="199"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79537" w14:textId="77777777" w:rsidR="004F4E0E" w:rsidRDefault="004F4E0E">
      <w:pPr>
        <w:spacing w:before="0" w:after="0"/>
      </w:pPr>
      <w:r>
        <w:separator/>
      </w:r>
    </w:p>
  </w:endnote>
  <w:endnote w:type="continuationSeparator" w:id="0">
    <w:p w14:paraId="5A943A63" w14:textId="77777777" w:rsidR="004F4E0E" w:rsidRDefault="004F4E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8098487"/>
      <w:docPartObj>
        <w:docPartGallery w:val="Page Numbers (Top of Page)"/>
        <w:docPartUnique/>
      </w:docPartObj>
    </w:sdtPr>
    <w:sdtContent>
      <w:p w14:paraId="6A0F388D" w14:textId="20DA4925" w:rsidR="0078761A" w:rsidRDefault="005E0A73">
        <w:pPr>
          <w:pStyle w:val="Fuzeile"/>
          <w:jc w:val="right"/>
          <w:rPr>
            <w:rFonts w:ascii="Arial" w:hAnsi="Arial" w:cs="Arial"/>
            <w:sz w:val="16"/>
            <w:szCs w:val="16"/>
          </w:rPr>
        </w:pPr>
        <w:r w:rsidRPr="005E0A73">
          <w:rPr>
            <w:rFonts w:ascii="Arial" w:hAnsi="Arial" w:cs="Arial"/>
            <w:sz w:val="16"/>
            <w:szCs w:val="16"/>
          </w:rPr>
          <w:t>1.1</w:t>
        </w:r>
        <w:r w:rsidR="00AE2AE5">
          <w:rPr>
            <w:rFonts w:ascii="Arial" w:hAnsi="Arial" w:cs="Arial"/>
            <w:sz w:val="16"/>
            <w:szCs w:val="16"/>
          </w:rPr>
          <w:t xml:space="preserve"> – </w:t>
        </w:r>
        <w:r w:rsidRPr="005E0A73">
          <w:rPr>
            <w:rFonts w:ascii="Arial" w:hAnsi="Arial" w:cs="Arial"/>
            <w:sz w:val="16"/>
            <w:szCs w:val="16"/>
          </w:rPr>
          <w:t>Ausschreibungsbedingungen</w:t>
        </w:r>
        <w:r w:rsidR="005F4EE4">
          <w:rPr>
            <w:rFonts w:ascii="Arial" w:hAnsi="Arial" w:cs="Arial"/>
            <w:sz w:val="16"/>
            <w:szCs w:val="16"/>
          </w:rPr>
          <w:tab/>
        </w:r>
        <w:r w:rsidR="005F4EE4">
          <w:rPr>
            <w:rFonts w:ascii="Arial" w:hAnsi="Arial" w:cs="Arial"/>
            <w:sz w:val="16"/>
            <w:szCs w:val="16"/>
          </w:rPr>
          <w:tab/>
        </w:r>
        <w:r w:rsidR="005F4EE4">
          <w:rPr>
            <w:rFonts w:ascii="Arial" w:hAnsi="Arial" w:cs="Arial"/>
            <w:sz w:val="16"/>
            <w:szCs w:val="16"/>
          </w:rPr>
          <w:tab/>
        </w:r>
        <w:r w:rsidR="005F4EE4">
          <w:rPr>
            <w:rFonts w:ascii="Arial" w:hAnsi="Arial" w:cs="Arial"/>
            <w:sz w:val="16"/>
            <w:szCs w:val="16"/>
          </w:rPr>
          <w:tab/>
        </w:r>
        <w:r w:rsidR="005F4EE4">
          <w:rPr>
            <w:rFonts w:ascii="Arial" w:hAnsi="Arial" w:cs="Arial"/>
            <w:sz w:val="16"/>
            <w:szCs w:val="16"/>
          </w:rPr>
          <w:tab/>
        </w:r>
        <w:r w:rsidR="005F4EE4">
          <w:rPr>
            <w:rFonts w:ascii="Arial" w:hAnsi="Arial" w:cs="Arial"/>
            <w:sz w:val="16"/>
            <w:szCs w:val="16"/>
          </w:rPr>
          <w:tab/>
        </w:r>
        <w:r w:rsidR="005F4EE4">
          <w:rPr>
            <w:rFonts w:ascii="Arial" w:hAnsi="Arial" w:cs="Arial"/>
            <w:sz w:val="16"/>
            <w:szCs w:val="16"/>
          </w:rPr>
          <w:tab/>
        </w:r>
        <w:r w:rsidR="005F4EE4">
          <w:rPr>
            <w:rFonts w:ascii="Arial" w:hAnsi="Arial" w:cs="Arial"/>
            <w:sz w:val="16"/>
            <w:szCs w:val="16"/>
          </w:rPr>
          <w:tab/>
          <w:t xml:space="preserve">Seite </w:t>
        </w:r>
        <w:r w:rsidR="005F4EE4">
          <w:rPr>
            <w:rFonts w:ascii="Arial" w:hAnsi="Arial" w:cs="Arial"/>
            <w:b w:val="0"/>
            <w:bCs/>
            <w:sz w:val="16"/>
            <w:szCs w:val="16"/>
          </w:rPr>
          <w:fldChar w:fldCharType="begin"/>
        </w:r>
        <w:r w:rsidR="005F4EE4">
          <w:rPr>
            <w:rFonts w:ascii="Arial" w:hAnsi="Arial" w:cs="Arial"/>
            <w:b w:val="0"/>
            <w:bCs/>
            <w:sz w:val="16"/>
            <w:szCs w:val="16"/>
          </w:rPr>
          <w:instrText xml:space="preserve"> PAGE </w:instrText>
        </w:r>
        <w:r w:rsidR="005F4EE4">
          <w:rPr>
            <w:rFonts w:ascii="Arial" w:hAnsi="Arial" w:cs="Arial"/>
            <w:b w:val="0"/>
            <w:bCs/>
            <w:sz w:val="16"/>
            <w:szCs w:val="16"/>
          </w:rPr>
          <w:fldChar w:fldCharType="separate"/>
        </w:r>
        <w:r w:rsidR="005F4EE4">
          <w:rPr>
            <w:rFonts w:ascii="Arial" w:hAnsi="Arial" w:cs="Arial"/>
            <w:b w:val="0"/>
            <w:bCs/>
            <w:sz w:val="16"/>
            <w:szCs w:val="16"/>
          </w:rPr>
          <w:t>2</w:t>
        </w:r>
        <w:r w:rsidR="005F4EE4">
          <w:rPr>
            <w:rFonts w:ascii="Arial" w:hAnsi="Arial" w:cs="Arial"/>
            <w:b w:val="0"/>
            <w:bCs/>
            <w:sz w:val="16"/>
            <w:szCs w:val="16"/>
          </w:rPr>
          <w:fldChar w:fldCharType="end"/>
        </w:r>
        <w:r w:rsidR="005F4EE4">
          <w:rPr>
            <w:rFonts w:ascii="Arial" w:hAnsi="Arial" w:cs="Arial"/>
            <w:sz w:val="16"/>
            <w:szCs w:val="16"/>
          </w:rPr>
          <w:t xml:space="preserve"> von </w:t>
        </w:r>
        <w:r w:rsidR="005F4EE4">
          <w:rPr>
            <w:rFonts w:ascii="Arial" w:hAnsi="Arial" w:cs="Arial"/>
            <w:b w:val="0"/>
            <w:bCs/>
            <w:sz w:val="16"/>
            <w:szCs w:val="16"/>
          </w:rPr>
          <w:fldChar w:fldCharType="begin"/>
        </w:r>
        <w:r w:rsidR="005F4EE4">
          <w:rPr>
            <w:rFonts w:ascii="Arial" w:hAnsi="Arial" w:cs="Arial"/>
            <w:b w:val="0"/>
            <w:bCs/>
            <w:sz w:val="16"/>
            <w:szCs w:val="16"/>
          </w:rPr>
          <w:instrText xml:space="preserve"> NUMPAGES </w:instrText>
        </w:r>
        <w:r w:rsidR="005F4EE4">
          <w:rPr>
            <w:rFonts w:ascii="Arial" w:hAnsi="Arial" w:cs="Arial"/>
            <w:b w:val="0"/>
            <w:bCs/>
            <w:sz w:val="16"/>
            <w:szCs w:val="16"/>
          </w:rPr>
          <w:fldChar w:fldCharType="separate"/>
        </w:r>
        <w:r w:rsidR="005F4EE4">
          <w:rPr>
            <w:rFonts w:ascii="Arial" w:hAnsi="Arial" w:cs="Arial"/>
            <w:b w:val="0"/>
            <w:bCs/>
            <w:sz w:val="16"/>
            <w:szCs w:val="16"/>
          </w:rPr>
          <w:t>25</w:t>
        </w:r>
        <w:r w:rsidR="005F4EE4">
          <w:rPr>
            <w:rFonts w:ascii="Arial" w:hAnsi="Arial" w:cs="Arial"/>
            <w:b w:val="0"/>
            <w:bCs/>
            <w:sz w:val="16"/>
            <w:szCs w:val="16"/>
          </w:rPr>
          <w:fldChar w:fldCharType="end"/>
        </w:r>
      </w:p>
      <w:p w14:paraId="6A0F388E" w14:textId="77777777" w:rsidR="0078761A" w:rsidRDefault="00000000">
        <w:pPr>
          <w:pStyle w:val="Fuzeile"/>
          <w:rPr>
            <w:rFonts w:ascii="Arial" w:hAnsi="Arial" w:cs="Arial"/>
            <w:sz w:val="16"/>
            <w:szCs w:val="16"/>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5705129"/>
      <w:docPartObj>
        <w:docPartGallery w:val="Page Numbers (Top of Page)"/>
        <w:docPartUnique/>
      </w:docPartObj>
    </w:sdtPr>
    <w:sdtContent>
      <w:p w14:paraId="6A0F38A0" w14:textId="77777777" w:rsidR="0078761A" w:rsidRDefault="005F4EE4">
        <w:pPr>
          <w:pStyle w:val="Fuzeile"/>
          <w:jc w:val="right"/>
          <w:rPr>
            <w:rFonts w:ascii="Arial" w:hAnsi="Arial" w:cs="Arial"/>
            <w:sz w:val="16"/>
            <w:szCs w:val="16"/>
          </w:rPr>
        </w:pPr>
        <w:r>
          <w:rPr>
            <w:rFonts w:ascii="Arial" w:hAnsi="Arial" w:cs="Arial"/>
            <w:sz w:val="16"/>
            <w:szCs w:val="16"/>
          </w:rPr>
          <w:t>Weiterentwicklung und UX/UI</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Seite </w:t>
        </w:r>
        <w:r>
          <w:rPr>
            <w:rFonts w:ascii="Arial" w:hAnsi="Arial" w:cs="Arial"/>
            <w:b w:val="0"/>
            <w:bCs/>
            <w:sz w:val="16"/>
            <w:szCs w:val="16"/>
          </w:rPr>
          <w:fldChar w:fldCharType="begin"/>
        </w:r>
        <w:r>
          <w:rPr>
            <w:rFonts w:ascii="Arial" w:hAnsi="Arial" w:cs="Arial"/>
            <w:b w:val="0"/>
            <w:bCs/>
            <w:sz w:val="16"/>
            <w:szCs w:val="16"/>
          </w:rPr>
          <w:instrText xml:space="preserve"> PAGE </w:instrText>
        </w:r>
        <w:r>
          <w:rPr>
            <w:rFonts w:ascii="Arial" w:hAnsi="Arial" w:cs="Arial"/>
            <w:b w:val="0"/>
            <w:bCs/>
            <w:sz w:val="16"/>
            <w:szCs w:val="16"/>
          </w:rPr>
          <w:fldChar w:fldCharType="separate"/>
        </w:r>
        <w:r>
          <w:rPr>
            <w:rFonts w:ascii="Arial" w:hAnsi="Arial" w:cs="Arial"/>
            <w:b w:val="0"/>
            <w:bCs/>
            <w:sz w:val="16"/>
            <w:szCs w:val="16"/>
          </w:rPr>
          <w:t>2</w:t>
        </w:r>
        <w:r>
          <w:rPr>
            <w:rFonts w:ascii="Arial" w:hAnsi="Arial" w:cs="Arial"/>
            <w:b w:val="0"/>
            <w:bCs/>
            <w:sz w:val="16"/>
            <w:szCs w:val="16"/>
          </w:rPr>
          <w:fldChar w:fldCharType="end"/>
        </w:r>
        <w:r>
          <w:rPr>
            <w:rFonts w:ascii="Arial" w:hAnsi="Arial" w:cs="Arial"/>
            <w:sz w:val="16"/>
            <w:szCs w:val="16"/>
          </w:rPr>
          <w:t xml:space="preserve"> von </w:t>
        </w:r>
        <w:r>
          <w:rPr>
            <w:rFonts w:ascii="Arial" w:hAnsi="Arial" w:cs="Arial"/>
            <w:b w:val="0"/>
            <w:bCs/>
            <w:sz w:val="16"/>
            <w:szCs w:val="16"/>
          </w:rPr>
          <w:fldChar w:fldCharType="begin"/>
        </w:r>
        <w:r>
          <w:rPr>
            <w:rFonts w:ascii="Arial" w:hAnsi="Arial" w:cs="Arial"/>
            <w:b w:val="0"/>
            <w:bCs/>
            <w:sz w:val="16"/>
            <w:szCs w:val="16"/>
          </w:rPr>
          <w:instrText xml:space="preserve"> NUMPAGES </w:instrText>
        </w:r>
        <w:r>
          <w:rPr>
            <w:rFonts w:ascii="Arial" w:hAnsi="Arial" w:cs="Arial"/>
            <w:b w:val="0"/>
            <w:bCs/>
            <w:sz w:val="16"/>
            <w:szCs w:val="16"/>
          </w:rPr>
          <w:fldChar w:fldCharType="separate"/>
        </w:r>
        <w:r>
          <w:rPr>
            <w:rFonts w:ascii="Arial" w:hAnsi="Arial" w:cs="Arial"/>
            <w:b w:val="0"/>
            <w:bCs/>
            <w:sz w:val="16"/>
            <w:szCs w:val="16"/>
          </w:rPr>
          <w:t>25</w:t>
        </w:r>
        <w:r>
          <w:rPr>
            <w:rFonts w:ascii="Arial" w:hAnsi="Arial" w:cs="Arial"/>
            <w:b w:val="0"/>
            <w:bCs/>
            <w:sz w:val="16"/>
            <w:szCs w:val="16"/>
          </w:rPr>
          <w:fldChar w:fldCharType="end"/>
        </w:r>
      </w:p>
      <w:p w14:paraId="6A0F38A1" w14:textId="77777777" w:rsidR="0078761A" w:rsidRDefault="00000000">
        <w:pPr>
          <w:pStyle w:val="Fuzeile"/>
          <w:rPr>
            <w:rFonts w:ascii="Arial" w:hAnsi="Arial" w:cs="Arial"/>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4F1A0" w14:textId="77777777" w:rsidR="004F4E0E" w:rsidRDefault="004F4E0E">
      <w:pPr>
        <w:spacing w:before="0" w:after="0"/>
      </w:pPr>
      <w:r>
        <w:separator/>
      </w:r>
    </w:p>
  </w:footnote>
  <w:footnote w:type="continuationSeparator" w:id="0">
    <w:p w14:paraId="29DAE30A" w14:textId="77777777" w:rsidR="004F4E0E" w:rsidRDefault="004F4E0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5800"/>
      <w:gridCol w:w="2459"/>
    </w:tblGrid>
    <w:tr w:rsidR="00243E9C" w:rsidRPr="0004139D" w14:paraId="28F77793" w14:textId="77777777" w:rsidTr="00417C77">
      <w:tc>
        <w:tcPr>
          <w:tcW w:w="1300" w:type="dxa"/>
          <w:tcBorders>
            <w:top w:val="nil"/>
            <w:left w:val="nil"/>
            <w:bottom w:val="nil"/>
            <w:right w:val="nil"/>
          </w:tcBorders>
        </w:tcPr>
        <w:p w14:paraId="24C9C86E" w14:textId="77777777" w:rsidR="00243E9C" w:rsidRPr="0017447C" w:rsidRDefault="00243E9C" w:rsidP="00243E9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Auftraggeber:</w:t>
          </w:r>
        </w:p>
      </w:tc>
      <w:tc>
        <w:tcPr>
          <w:tcW w:w="5800" w:type="dxa"/>
          <w:tcBorders>
            <w:top w:val="nil"/>
            <w:left w:val="nil"/>
            <w:bottom w:val="nil"/>
            <w:right w:val="nil"/>
          </w:tcBorders>
        </w:tcPr>
        <w:p w14:paraId="6C1AF46E" w14:textId="130521B8" w:rsidR="00243E9C" w:rsidRPr="0004139D" w:rsidRDefault="00525088" w:rsidP="00243E9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sidRPr="00525088">
            <w:rPr>
              <w:rFonts w:ascii="Arial" w:hAnsi="Arial" w:cs="Arial"/>
              <w:noProof/>
              <w:sz w:val="16"/>
              <w:szCs w:val="16"/>
            </w:rPr>
            <w:t>Versorgungsbetriebe Hoyerswerda GmbH</w:t>
          </w:r>
        </w:p>
      </w:tc>
      <w:tc>
        <w:tcPr>
          <w:tcW w:w="2459" w:type="dxa"/>
          <w:vMerge w:val="restart"/>
          <w:tcBorders>
            <w:top w:val="nil"/>
            <w:left w:val="nil"/>
            <w:bottom w:val="nil"/>
            <w:right w:val="nil"/>
          </w:tcBorders>
        </w:tcPr>
        <w:p w14:paraId="6120234F" w14:textId="32356AF4" w:rsidR="00243E9C" w:rsidRPr="0004139D" w:rsidRDefault="00BE0DB0" w:rsidP="00243E9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Pr>
              <w:rFonts w:ascii="Arial" w:hAnsi="Arial" w:cs="Arial"/>
              <w:noProof/>
              <w:sz w:val="16"/>
              <w:szCs w:val="16"/>
            </w:rPr>
            <w:drawing>
              <wp:inline distT="0" distB="0" distL="0" distR="0" wp14:anchorId="029FCEB3" wp14:editId="4293912E">
                <wp:extent cx="1560830" cy="841375"/>
                <wp:effectExtent l="0" t="0" r="1270" b="0"/>
                <wp:docPr id="82685935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0830" cy="841375"/>
                        </a:xfrm>
                        <a:prstGeom prst="rect">
                          <a:avLst/>
                        </a:prstGeom>
                        <a:noFill/>
                      </pic:spPr>
                    </pic:pic>
                  </a:graphicData>
                </a:graphic>
              </wp:inline>
            </w:drawing>
          </w:r>
        </w:p>
      </w:tc>
    </w:tr>
    <w:tr w:rsidR="00243E9C" w:rsidRPr="0004139D" w14:paraId="4DAC6554" w14:textId="77777777" w:rsidTr="00417C77">
      <w:tc>
        <w:tcPr>
          <w:tcW w:w="1300" w:type="dxa"/>
          <w:tcBorders>
            <w:top w:val="nil"/>
            <w:left w:val="nil"/>
            <w:bottom w:val="nil"/>
            <w:right w:val="nil"/>
          </w:tcBorders>
        </w:tcPr>
        <w:p w14:paraId="38B30F21" w14:textId="77777777" w:rsidR="00243E9C" w:rsidRPr="0017447C" w:rsidRDefault="00243E9C" w:rsidP="00243E9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Vorhaben:</w:t>
          </w:r>
        </w:p>
      </w:tc>
      <w:tc>
        <w:tcPr>
          <w:tcW w:w="5800" w:type="dxa"/>
          <w:tcBorders>
            <w:top w:val="nil"/>
            <w:left w:val="nil"/>
            <w:bottom w:val="nil"/>
            <w:right w:val="nil"/>
          </w:tcBorders>
        </w:tcPr>
        <w:p w14:paraId="48583ED4" w14:textId="4DE462C6" w:rsidR="00243E9C" w:rsidRPr="0004139D" w:rsidRDefault="00181C85" w:rsidP="00243E9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sidRPr="00181C85">
            <w:rPr>
              <w:rFonts w:ascii="Arial" w:eastAsia="Calibri" w:hAnsi="Arial" w:cs="Arial"/>
              <w:sz w:val="16"/>
              <w:szCs w:val="16"/>
            </w:rPr>
            <w:t>Sicherung der Medienleitungen Fernwärme und Trinkwasser im Bereich der bergbaulichen Sanierung der B97 und S130</w:t>
          </w:r>
        </w:p>
      </w:tc>
      <w:tc>
        <w:tcPr>
          <w:tcW w:w="2459" w:type="dxa"/>
          <w:vMerge/>
          <w:tcBorders>
            <w:top w:val="nil"/>
            <w:left w:val="nil"/>
            <w:bottom w:val="nil"/>
            <w:right w:val="nil"/>
          </w:tcBorders>
          <w:vAlign w:val="center"/>
        </w:tcPr>
        <w:p w14:paraId="7C6F1CAF" w14:textId="77777777" w:rsidR="00243E9C" w:rsidRPr="0004139D" w:rsidRDefault="00243E9C" w:rsidP="00243E9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243E9C" w:rsidRPr="0004139D" w14:paraId="06EDBB28" w14:textId="77777777" w:rsidTr="00417C77">
      <w:tc>
        <w:tcPr>
          <w:tcW w:w="1300" w:type="dxa"/>
          <w:tcBorders>
            <w:top w:val="nil"/>
            <w:left w:val="nil"/>
            <w:bottom w:val="nil"/>
            <w:right w:val="nil"/>
          </w:tcBorders>
        </w:tcPr>
        <w:p w14:paraId="69B815D0" w14:textId="77777777" w:rsidR="00243E9C" w:rsidRPr="0017447C" w:rsidRDefault="00243E9C" w:rsidP="00243E9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Auftrag:</w:t>
          </w:r>
        </w:p>
      </w:tc>
      <w:tc>
        <w:tcPr>
          <w:tcW w:w="5800" w:type="dxa"/>
          <w:tcBorders>
            <w:top w:val="nil"/>
            <w:left w:val="nil"/>
            <w:bottom w:val="nil"/>
            <w:right w:val="nil"/>
          </w:tcBorders>
        </w:tcPr>
        <w:p w14:paraId="5629C5A5" w14:textId="54F7371A" w:rsidR="00243E9C" w:rsidRPr="0004139D" w:rsidRDefault="00181C85" w:rsidP="00243E9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sidRPr="00181C85">
            <w:rPr>
              <w:rFonts w:ascii="Arial" w:eastAsia="Calibri" w:hAnsi="Arial" w:cs="Arial"/>
              <w:sz w:val="16"/>
              <w:szCs w:val="16"/>
            </w:rPr>
            <w:t>Objektplanungsleistungen Leistungsphasen 1–6 für Ingenieurbauwerke gemäß §§ 41–45 HOAI 2021 – Sicherung Fernwärmeleitung und Trinkwasserleitung</w:t>
          </w:r>
        </w:p>
      </w:tc>
      <w:tc>
        <w:tcPr>
          <w:tcW w:w="2459" w:type="dxa"/>
          <w:vMerge/>
          <w:tcBorders>
            <w:top w:val="nil"/>
            <w:left w:val="nil"/>
            <w:bottom w:val="nil"/>
            <w:right w:val="nil"/>
          </w:tcBorders>
          <w:vAlign w:val="center"/>
        </w:tcPr>
        <w:p w14:paraId="1B90392A" w14:textId="77777777" w:rsidR="00243E9C" w:rsidRPr="0004139D" w:rsidRDefault="00243E9C" w:rsidP="00243E9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243E9C" w14:paraId="7167F8B6" w14:textId="77777777" w:rsidTr="00417C77">
      <w:tc>
        <w:tcPr>
          <w:tcW w:w="1300" w:type="dxa"/>
          <w:tcBorders>
            <w:top w:val="nil"/>
            <w:left w:val="nil"/>
            <w:bottom w:val="nil"/>
            <w:right w:val="nil"/>
          </w:tcBorders>
        </w:tcPr>
        <w:p w14:paraId="6931982A" w14:textId="77777777" w:rsidR="00243E9C" w:rsidRPr="0017447C" w:rsidRDefault="00243E9C" w:rsidP="00243E9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Verfahrensart</w:t>
          </w:r>
        </w:p>
      </w:tc>
      <w:tc>
        <w:tcPr>
          <w:tcW w:w="5800" w:type="dxa"/>
          <w:tcBorders>
            <w:top w:val="nil"/>
            <w:left w:val="nil"/>
            <w:bottom w:val="nil"/>
            <w:right w:val="nil"/>
          </w:tcBorders>
        </w:tcPr>
        <w:p w14:paraId="2EA76AA9" w14:textId="13B8A994" w:rsidR="00243E9C" w:rsidRDefault="00181C85" w:rsidP="00243E9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sidRPr="00181C85">
            <w:rPr>
              <w:rFonts w:ascii="Arial" w:eastAsia="Calibri" w:hAnsi="Arial" w:cs="Arial"/>
              <w:sz w:val="16"/>
              <w:szCs w:val="16"/>
            </w:rPr>
            <w:t>Offenes Verfahren gemäß § 15 VgV</w:t>
          </w:r>
        </w:p>
      </w:tc>
      <w:tc>
        <w:tcPr>
          <w:tcW w:w="2459" w:type="dxa"/>
          <w:vMerge/>
          <w:tcBorders>
            <w:top w:val="nil"/>
            <w:left w:val="nil"/>
            <w:bottom w:val="nil"/>
            <w:right w:val="nil"/>
          </w:tcBorders>
          <w:vAlign w:val="center"/>
        </w:tcPr>
        <w:p w14:paraId="67B3A258" w14:textId="77777777" w:rsidR="00243E9C" w:rsidRDefault="00243E9C" w:rsidP="00243E9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14:paraId="6A0F388B" w14:textId="5393FBBB" w:rsidR="0078761A" w:rsidRPr="00393A2F" w:rsidRDefault="0078761A" w:rsidP="00BE0DB0">
    <w:pPr>
      <w:pStyle w:val="Kopfzeile"/>
      <w:rPr>
        <w:rFonts w:ascii="Arial" w:eastAsia="Calibri" w:hAnsi="Arial" w:cs="Arial"/>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5800"/>
      <w:gridCol w:w="2459"/>
    </w:tblGrid>
    <w:tr w:rsidR="0078761A" w14:paraId="6A0F3892" w14:textId="77777777">
      <w:tc>
        <w:tcPr>
          <w:tcW w:w="1300" w:type="dxa"/>
          <w:tcBorders>
            <w:top w:val="nil"/>
            <w:left w:val="nil"/>
            <w:bottom w:val="nil"/>
            <w:right w:val="nil"/>
          </w:tcBorders>
        </w:tcPr>
        <w:p w14:paraId="6A0F388F" w14:textId="77777777" w:rsidR="0078761A" w:rsidRDefault="005F4EE4">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Pr>
              <w:rFonts w:ascii="Arial" w:eastAsia="Calibri" w:hAnsi="Arial" w:cs="Arial"/>
              <w:b/>
              <w:bCs/>
              <w:sz w:val="16"/>
              <w:szCs w:val="16"/>
            </w:rPr>
            <w:t>Auftraggeber:</w:t>
          </w:r>
        </w:p>
      </w:tc>
      <w:tc>
        <w:tcPr>
          <w:tcW w:w="5800" w:type="dxa"/>
          <w:tcBorders>
            <w:top w:val="nil"/>
            <w:left w:val="nil"/>
            <w:bottom w:val="nil"/>
            <w:right w:val="nil"/>
          </w:tcBorders>
        </w:tcPr>
        <w:p w14:paraId="6A0F3890" w14:textId="60E0A293" w:rsidR="0078761A" w:rsidRDefault="005F4EE4">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Pr>
              <w:rFonts w:ascii="Arial" w:eastAsia="Calibri" w:hAnsi="Arial" w:cs="Arial"/>
              <w:sz w:val="16"/>
              <w:szCs w:val="16"/>
            </w:rPr>
            <w:t>Zentrum für Digitale Souveränität der Öffentlichen Verwaltung GmbH ()</w:t>
          </w:r>
        </w:p>
      </w:tc>
      <w:tc>
        <w:tcPr>
          <w:tcW w:w="2459" w:type="dxa"/>
          <w:vMerge w:val="restart"/>
          <w:tcBorders>
            <w:top w:val="nil"/>
            <w:left w:val="nil"/>
            <w:bottom w:val="nil"/>
            <w:right w:val="nil"/>
          </w:tcBorders>
        </w:tcPr>
        <w:p w14:paraId="6A0F3891" w14:textId="77777777" w:rsidR="0078761A" w:rsidRDefault="005F4EE4">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Pr>
              <w:rFonts w:ascii="Arial" w:hAnsi="Arial" w:cs="Arial"/>
              <w:noProof/>
              <w:sz w:val="16"/>
              <w:szCs w:val="16"/>
            </w:rPr>
            <w:drawing>
              <wp:anchor distT="0" distB="0" distL="0" distR="0" simplePos="0" relativeHeight="251657216" behindDoc="1" locked="0" layoutInCell="1" allowOverlap="1" wp14:anchorId="6A0F38A8" wp14:editId="44E0411C">
                <wp:simplePos x="0" y="0"/>
                <wp:positionH relativeFrom="column">
                  <wp:posOffset>-113665</wp:posOffset>
                </wp:positionH>
                <wp:positionV relativeFrom="paragraph">
                  <wp:posOffset>-182880</wp:posOffset>
                </wp:positionV>
                <wp:extent cx="1757680" cy="923290"/>
                <wp:effectExtent l="0" t="0" r="0" b="0"/>
                <wp:wrapNone/>
                <wp:docPr id="5" name="Grafik 1 Kopie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1 Kopie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1757680" cy="923290"/>
                        </a:xfrm>
                        <a:prstGeom prst="rect">
                          <a:avLst/>
                        </a:prstGeom>
                        <a:noFill/>
                      </pic:spPr>
                    </pic:pic>
                  </a:graphicData>
                </a:graphic>
              </wp:anchor>
            </w:drawing>
          </w:r>
        </w:p>
      </w:tc>
    </w:tr>
    <w:tr w:rsidR="0078761A" w14:paraId="6A0F3896" w14:textId="77777777">
      <w:tc>
        <w:tcPr>
          <w:tcW w:w="1300" w:type="dxa"/>
          <w:tcBorders>
            <w:top w:val="nil"/>
            <w:left w:val="nil"/>
            <w:bottom w:val="nil"/>
            <w:right w:val="nil"/>
          </w:tcBorders>
        </w:tcPr>
        <w:p w14:paraId="6A0F3893" w14:textId="77777777" w:rsidR="0078761A" w:rsidRDefault="005F4EE4">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Pr>
              <w:rFonts w:ascii="Arial" w:eastAsia="Calibri" w:hAnsi="Arial" w:cs="Arial"/>
              <w:b/>
              <w:bCs/>
              <w:sz w:val="16"/>
              <w:szCs w:val="16"/>
            </w:rPr>
            <w:t>Vorhaben:</w:t>
          </w:r>
        </w:p>
      </w:tc>
      <w:tc>
        <w:tcPr>
          <w:tcW w:w="5800" w:type="dxa"/>
          <w:tcBorders>
            <w:top w:val="nil"/>
            <w:left w:val="nil"/>
            <w:bottom w:val="nil"/>
            <w:right w:val="nil"/>
          </w:tcBorders>
        </w:tcPr>
        <w:p w14:paraId="6A0F3894" w14:textId="2EE6A1F9" w:rsidR="0078761A" w:rsidRDefault="005F4EE4">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Pr>
              <w:rFonts w:ascii="Arial" w:eastAsia="Calibri" w:hAnsi="Arial" w:cs="Arial"/>
              <w:sz w:val="16"/>
              <w:szCs w:val="16"/>
            </w:rPr>
            <w:t>Betrieb und Weiterentwicklung von -Produkten</w:t>
          </w:r>
        </w:p>
      </w:tc>
      <w:tc>
        <w:tcPr>
          <w:tcW w:w="2459" w:type="dxa"/>
          <w:vMerge/>
          <w:tcBorders>
            <w:top w:val="nil"/>
            <w:left w:val="nil"/>
            <w:bottom w:val="nil"/>
            <w:right w:val="nil"/>
          </w:tcBorders>
          <w:vAlign w:val="center"/>
        </w:tcPr>
        <w:p w14:paraId="6A0F3895" w14:textId="77777777" w:rsidR="0078761A" w:rsidRDefault="0078761A">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78761A" w14:paraId="6A0F389A" w14:textId="77777777">
      <w:tc>
        <w:tcPr>
          <w:tcW w:w="1300" w:type="dxa"/>
          <w:tcBorders>
            <w:top w:val="nil"/>
            <w:left w:val="nil"/>
            <w:bottom w:val="nil"/>
            <w:right w:val="nil"/>
          </w:tcBorders>
        </w:tcPr>
        <w:p w14:paraId="6A0F3897" w14:textId="77777777" w:rsidR="0078761A" w:rsidRDefault="005F4EE4">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Pr>
              <w:rFonts w:ascii="Arial" w:eastAsia="Calibri" w:hAnsi="Arial" w:cs="Arial"/>
              <w:b/>
              <w:bCs/>
              <w:sz w:val="16"/>
              <w:szCs w:val="16"/>
            </w:rPr>
            <w:t>Auftrag:</w:t>
          </w:r>
        </w:p>
      </w:tc>
      <w:tc>
        <w:tcPr>
          <w:tcW w:w="5800" w:type="dxa"/>
          <w:tcBorders>
            <w:top w:val="nil"/>
            <w:left w:val="nil"/>
            <w:bottom w:val="nil"/>
            <w:right w:val="nil"/>
          </w:tcBorders>
        </w:tcPr>
        <w:p w14:paraId="6A0F3898" w14:textId="77777777" w:rsidR="0078761A" w:rsidRDefault="005F4EE4">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Pr>
              <w:rFonts w:ascii="Arial" w:eastAsia="Calibri" w:hAnsi="Arial" w:cs="Arial"/>
              <w:sz w:val="16"/>
              <w:szCs w:val="16"/>
            </w:rPr>
            <w:t>Los 2 – Weiterentwicklung und UX/UI</w:t>
          </w:r>
        </w:p>
      </w:tc>
      <w:tc>
        <w:tcPr>
          <w:tcW w:w="2459" w:type="dxa"/>
          <w:vMerge/>
          <w:tcBorders>
            <w:top w:val="nil"/>
            <w:left w:val="nil"/>
            <w:bottom w:val="nil"/>
            <w:right w:val="nil"/>
          </w:tcBorders>
          <w:vAlign w:val="center"/>
        </w:tcPr>
        <w:p w14:paraId="6A0F3899" w14:textId="77777777" w:rsidR="0078761A" w:rsidRDefault="0078761A">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78761A" w14:paraId="6A0F389E" w14:textId="77777777">
      <w:tc>
        <w:tcPr>
          <w:tcW w:w="1300" w:type="dxa"/>
          <w:tcBorders>
            <w:top w:val="nil"/>
            <w:left w:val="nil"/>
            <w:bottom w:val="nil"/>
            <w:right w:val="nil"/>
          </w:tcBorders>
        </w:tcPr>
        <w:p w14:paraId="6A0F389B" w14:textId="77777777" w:rsidR="0078761A" w:rsidRDefault="005F4EE4">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Pr>
              <w:rFonts w:ascii="Arial" w:eastAsia="Calibri" w:hAnsi="Arial" w:cs="Arial"/>
              <w:b/>
              <w:bCs/>
              <w:sz w:val="16"/>
              <w:szCs w:val="16"/>
            </w:rPr>
            <w:t>Verfahrensart</w:t>
          </w:r>
        </w:p>
      </w:tc>
      <w:tc>
        <w:tcPr>
          <w:tcW w:w="5800" w:type="dxa"/>
          <w:tcBorders>
            <w:top w:val="nil"/>
            <w:left w:val="nil"/>
            <w:bottom w:val="nil"/>
            <w:right w:val="nil"/>
          </w:tcBorders>
        </w:tcPr>
        <w:p w14:paraId="6A0F389C" w14:textId="77777777" w:rsidR="0078761A" w:rsidRDefault="005F4EE4">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Pr>
              <w:rFonts w:ascii="Arial" w:eastAsia="Calibri" w:hAnsi="Arial" w:cs="Arial"/>
              <w:sz w:val="16"/>
              <w:szCs w:val="16"/>
            </w:rPr>
            <w:t>EU-weites offenes Verfahren gemäß § 15 VgV</w:t>
          </w:r>
        </w:p>
      </w:tc>
      <w:tc>
        <w:tcPr>
          <w:tcW w:w="2459" w:type="dxa"/>
          <w:vMerge/>
          <w:tcBorders>
            <w:top w:val="nil"/>
            <w:left w:val="nil"/>
            <w:bottom w:val="nil"/>
            <w:right w:val="nil"/>
          </w:tcBorders>
          <w:vAlign w:val="center"/>
        </w:tcPr>
        <w:p w14:paraId="6A0F389D" w14:textId="77777777" w:rsidR="0078761A" w:rsidRDefault="0078761A">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14:paraId="6A0F389F" w14:textId="77777777" w:rsidR="0078761A" w:rsidRDefault="0078761A">
    <w:pPr>
      <w:pStyle w:val="Kopfzeile"/>
      <w:rPr>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A6E4F"/>
    <w:multiLevelType w:val="multilevel"/>
    <w:tmpl w:val="1C02BB68"/>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 w15:restartNumberingAfterBreak="0">
    <w:nsid w:val="09786B2F"/>
    <w:multiLevelType w:val="multilevel"/>
    <w:tmpl w:val="904C4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3848F6"/>
    <w:multiLevelType w:val="multilevel"/>
    <w:tmpl w:val="B3763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26B14"/>
    <w:multiLevelType w:val="hybridMultilevel"/>
    <w:tmpl w:val="4FB89B7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D56151A"/>
    <w:multiLevelType w:val="multilevel"/>
    <w:tmpl w:val="75E8B102"/>
    <w:lvl w:ilvl="0">
      <w:start w:val="1"/>
      <w:numFmt w:val="decimal"/>
      <w:pStyle w:val="berschrift1"/>
      <w:lvlText w:val="%1"/>
      <w:lvlJc w:val="right"/>
      <w:pPr>
        <w:tabs>
          <w:tab w:val="num" w:pos="567"/>
        </w:tabs>
        <w:ind w:left="567" w:firstLine="0"/>
      </w:pPr>
    </w:lvl>
    <w:lvl w:ilvl="1">
      <w:start w:val="1"/>
      <w:numFmt w:val="decimal"/>
      <w:lvlText w:val="%1.%2"/>
      <w:lvlJc w:val="right"/>
      <w:pPr>
        <w:tabs>
          <w:tab w:val="num" w:pos="927"/>
        </w:tabs>
        <w:ind w:left="567" w:firstLine="0"/>
      </w:pPr>
      <w:rPr>
        <w:rFonts w:cs="Times New Roman"/>
        <w:b/>
        <w:bCs/>
        <w:i w:val="0"/>
        <w:iCs w:val="0"/>
        <w:caps w:val="0"/>
        <w:smallCaps w:val="0"/>
        <w:strike w:val="0"/>
        <w:dstrike w:val="0"/>
        <w:vanish w:val="0"/>
        <w:spacing w:val="0"/>
        <w:position w:val="0"/>
        <w:sz w:val="22"/>
        <w:u w:val="none"/>
        <w:vertAlign w:val="baseline"/>
        <w14:textOutline w14:w="0" w14:cap="rnd" w14:cmpd="sng" w14:algn="ctr">
          <w14:noFill/>
          <w14:prstDash w14:val="solid"/>
          <w14:bevel/>
        </w14:textOutline>
        <w14:ligatures w14:val="none"/>
      </w:rPr>
    </w:lvl>
    <w:lvl w:ilvl="2">
      <w:start w:val="1"/>
      <w:numFmt w:val="decimal"/>
      <w:lvlText w:val="%1.%2.%3"/>
      <w:lvlJc w:val="right"/>
      <w:pPr>
        <w:tabs>
          <w:tab w:val="num" w:pos="927"/>
        </w:tabs>
        <w:ind w:left="567" w:firstLine="0"/>
      </w:pPr>
      <w:rPr>
        <w:rFonts w:cs="Times New Roman"/>
        <w:b w:val="0"/>
        <w:bCs w:val="0"/>
        <w:i w:val="0"/>
        <w:iCs w:val="0"/>
        <w:caps w:val="0"/>
        <w:smallCaps w:val="0"/>
        <w:strike w:val="0"/>
        <w:dstrike w:val="0"/>
        <w:vanish w:val="0"/>
        <w:spacing w:val="0"/>
        <w:position w:val="0"/>
        <w:sz w:val="22"/>
        <w:u w:val="none"/>
        <w:vertAlign w:val="baseline"/>
        <w14:textOutline w14:w="0" w14:cap="rnd" w14:cmpd="sng" w14:algn="ctr">
          <w14:noFill/>
          <w14:prstDash w14:val="solid"/>
          <w14:bevel/>
        </w14:textOutline>
        <w14:ligatures w14:val="none"/>
      </w:rPr>
    </w:lvl>
    <w:lvl w:ilvl="3">
      <w:start w:val="1"/>
      <w:numFmt w:val="decimal"/>
      <w:lvlText w:val="%1.%2.%3.%4"/>
      <w:lvlJc w:val="right"/>
      <w:pPr>
        <w:tabs>
          <w:tab w:val="num" w:pos="927"/>
        </w:tabs>
        <w:ind w:left="567" w:firstLine="0"/>
      </w:pPr>
      <w:rPr>
        <w:rFonts w:cs="Times New Roman"/>
        <w:b w:val="0"/>
        <w:bCs w:val="0"/>
        <w:i w:val="0"/>
        <w:iCs w:val="0"/>
        <w:caps w:val="0"/>
        <w:smallCaps w:val="0"/>
        <w:strike w:val="0"/>
        <w:dstrike w:val="0"/>
        <w:vanish w:val="0"/>
        <w:spacing w:val="0"/>
        <w:position w:val="0"/>
        <w:sz w:val="22"/>
        <w:u w:val="none"/>
        <w:vertAlign w:val="baseline"/>
        <w14:textOutline w14:w="0" w14:cap="rnd" w14:cmpd="sng" w14:algn="ctr">
          <w14:noFill/>
          <w14:prstDash w14:val="solid"/>
          <w14:bevel/>
        </w14:textOutline>
        <w14:ligatures w14:val="none"/>
      </w:rPr>
    </w:lvl>
    <w:lvl w:ilvl="4">
      <w:start w:val="1"/>
      <w:numFmt w:val="decimal"/>
      <w:lvlText w:val="%1.%2.%3.%4.%5"/>
      <w:lvlJc w:val="right"/>
      <w:pPr>
        <w:tabs>
          <w:tab w:val="num" w:pos="567"/>
        </w:tabs>
        <w:ind w:left="567" w:firstLine="0"/>
      </w:pPr>
    </w:lvl>
    <w:lvl w:ilvl="5">
      <w:start w:val="1"/>
      <w:numFmt w:val="decimal"/>
      <w:lvlText w:val="%1.%2.%3.%4.%5.%6"/>
      <w:lvlJc w:val="left"/>
      <w:pPr>
        <w:tabs>
          <w:tab w:val="num" w:pos="567"/>
        </w:tabs>
        <w:ind w:left="567" w:firstLine="0"/>
      </w:pPr>
    </w:lvl>
    <w:lvl w:ilvl="6">
      <w:start w:val="1"/>
      <w:numFmt w:val="decimal"/>
      <w:lvlText w:val="%1.%2.%3.%4.%5.%6.%7"/>
      <w:lvlJc w:val="left"/>
      <w:pPr>
        <w:tabs>
          <w:tab w:val="num" w:pos="567"/>
        </w:tabs>
        <w:ind w:left="567" w:firstLine="0"/>
      </w:pPr>
    </w:lvl>
    <w:lvl w:ilvl="7">
      <w:start w:val="1"/>
      <w:numFmt w:val="decimal"/>
      <w:lvlText w:val="%1.%2.%3.%4.%5.%6.%7.%8"/>
      <w:lvlJc w:val="left"/>
      <w:pPr>
        <w:tabs>
          <w:tab w:val="num" w:pos="567"/>
        </w:tabs>
        <w:ind w:left="567" w:firstLine="0"/>
      </w:pPr>
    </w:lvl>
    <w:lvl w:ilvl="8">
      <w:start w:val="1"/>
      <w:numFmt w:val="decimal"/>
      <w:lvlText w:val="%1.%2.%3.%4.%5.%6.%7.%8.%9"/>
      <w:lvlJc w:val="left"/>
      <w:pPr>
        <w:tabs>
          <w:tab w:val="num" w:pos="567"/>
        </w:tabs>
        <w:ind w:left="567" w:firstLine="0"/>
      </w:pPr>
    </w:lvl>
  </w:abstractNum>
  <w:abstractNum w:abstractNumId="5" w15:restartNumberingAfterBreak="0">
    <w:nsid w:val="22F41DDE"/>
    <w:multiLevelType w:val="multilevel"/>
    <w:tmpl w:val="E7A64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C747A0"/>
    <w:multiLevelType w:val="multilevel"/>
    <w:tmpl w:val="32147B5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259A4520"/>
    <w:multiLevelType w:val="multilevel"/>
    <w:tmpl w:val="3AF2B844"/>
    <w:lvl w:ilvl="0">
      <w:start w:val="1"/>
      <w:numFmt w:val="decimal"/>
      <w:lvlText w:val="%1."/>
      <w:lvlJc w:val="left"/>
      <w:pPr>
        <w:tabs>
          <w:tab w:val="num" w:pos="0"/>
        </w:tabs>
        <w:ind w:left="1428" w:hanging="360"/>
      </w:pPr>
    </w:lvl>
    <w:lvl w:ilvl="1">
      <w:start w:val="1"/>
      <w:numFmt w:val="decimal"/>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8" w15:restartNumberingAfterBreak="0">
    <w:nsid w:val="271E6783"/>
    <w:multiLevelType w:val="multilevel"/>
    <w:tmpl w:val="CC209662"/>
    <w:lvl w:ilvl="0">
      <w:start w:val="1"/>
      <w:numFmt w:val="bullet"/>
      <w:pStyle w:val="AufzhlungEbene1"/>
      <w:lvlText w:val=""/>
      <w:lvlJc w:val="left"/>
      <w:pPr>
        <w:tabs>
          <w:tab w:val="num" w:pos="818"/>
        </w:tabs>
        <w:ind w:left="818" w:hanging="360"/>
      </w:pPr>
      <w:rPr>
        <w:rFonts w:ascii="Symbol" w:hAnsi="Symbol" w:cs="Symbol" w:hint="default"/>
      </w:rPr>
    </w:lvl>
    <w:lvl w:ilvl="1">
      <w:start w:val="1"/>
      <w:numFmt w:val="bullet"/>
      <w:lvlText w:val="o"/>
      <w:lvlJc w:val="left"/>
      <w:pPr>
        <w:tabs>
          <w:tab w:val="num" w:pos="1538"/>
        </w:tabs>
        <w:ind w:left="1538" w:hanging="360"/>
      </w:pPr>
      <w:rPr>
        <w:rFonts w:ascii="Courier New" w:hAnsi="Courier New" w:cs="Courier New" w:hint="default"/>
      </w:rPr>
    </w:lvl>
    <w:lvl w:ilvl="2">
      <w:numFmt w:val="bullet"/>
      <w:lvlText w:val="•"/>
      <w:lvlJc w:val="left"/>
      <w:pPr>
        <w:tabs>
          <w:tab w:val="num" w:pos="0"/>
        </w:tabs>
        <w:ind w:left="2603" w:hanging="705"/>
      </w:pPr>
      <w:rPr>
        <w:rFonts w:ascii="Arial" w:hAnsi="Arial" w:cs="Arial" w:hint="default"/>
      </w:rPr>
    </w:lvl>
    <w:lvl w:ilvl="3">
      <w:start w:val="1"/>
      <w:numFmt w:val="bullet"/>
      <w:lvlText w:val=""/>
      <w:lvlJc w:val="left"/>
      <w:pPr>
        <w:tabs>
          <w:tab w:val="num" w:pos="2978"/>
        </w:tabs>
        <w:ind w:left="2978" w:hanging="360"/>
      </w:pPr>
      <w:rPr>
        <w:rFonts w:ascii="Symbol" w:hAnsi="Symbol" w:cs="Symbol" w:hint="default"/>
      </w:rPr>
    </w:lvl>
    <w:lvl w:ilvl="4">
      <w:start w:val="1"/>
      <w:numFmt w:val="bullet"/>
      <w:lvlText w:val="o"/>
      <w:lvlJc w:val="left"/>
      <w:pPr>
        <w:tabs>
          <w:tab w:val="num" w:pos="3698"/>
        </w:tabs>
        <w:ind w:left="3698" w:hanging="360"/>
      </w:pPr>
      <w:rPr>
        <w:rFonts w:ascii="Courier New" w:hAnsi="Courier New" w:cs="Courier New" w:hint="default"/>
      </w:rPr>
    </w:lvl>
    <w:lvl w:ilvl="5">
      <w:start w:val="1"/>
      <w:numFmt w:val="bullet"/>
      <w:lvlText w:val=""/>
      <w:lvlJc w:val="left"/>
      <w:pPr>
        <w:tabs>
          <w:tab w:val="num" w:pos="4418"/>
        </w:tabs>
        <w:ind w:left="4418" w:hanging="360"/>
      </w:pPr>
      <w:rPr>
        <w:rFonts w:ascii="Wingdings" w:hAnsi="Wingdings" w:cs="Wingdings" w:hint="default"/>
      </w:rPr>
    </w:lvl>
    <w:lvl w:ilvl="6">
      <w:start w:val="1"/>
      <w:numFmt w:val="bullet"/>
      <w:lvlText w:val=""/>
      <w:lvlJc w:val="left"/>
      <w:pPr>
        <w:tabs>
          <w:tab w:val="num" w:pos="5138"/>
        </w:tabs>
        <w:ind w:left="5138" w:hanging="360"/>
      </w:pPr>
      <w:rPr>
        <w:rFonts w:ascii="Symbol" w:hAnsi="Symbol" w:cs="Symbol" w:hint="default"/>
      </w:rPr>
    </w:lvl>
    <w:lvl w:ilvl="7">
      <w:start w:val="1"/>
      <w:numFmt w:val="bullet"/>
      <w:lvlText w:val="o"/>
      <w:lvlJc w:val="left"/>
      <w:pPr>
        <w:tabs>
          <w:tab w:val="num" w:pos="5858"/>
        </w:tabs>
        <w:ind w:left="5858" w:hanging="360"/>
      </w:pPr>
      <w:rPr>
        <w:rFonts w:ascii="Courier New" w:hAnsi="Courier New" w:cs="Courier New" w:hint="default"/>
      </w:rPr>
    </w:lvl>
    <w:lvl w:ilvl="8">
      <w:start w:val="1"/>
      <w:numFmt w:val="bullet"/>
      <w:lvlText w:val=""/>
      <w:lvlJc w:val="left"/>
      <w:pPr>
        <w:tabs>
          <w:tab w:val="num" w:pos="6578"/>
        </w:tabs>
        <w:ind w:left="6578" w:hanging="360"/>
      </w:pPr>
      <w:rPr>
        <w:rFonts w:ascii="Wingdings" w:hAnsi="Wingdings" w:cs="Wingdings" w:hint="default"/>
      </w:rPr>
    </w:lvl>
  </w:abstractNum>
  <w:abstractNum w:abstractNumId="9" w15:restartNumberingAfterBreak="0">
    <w:nsid w:val="2E202FC0"/>
    <w:multiLevelType w:val="multilevel"/>
    <w:tmpl w:val="088C32C8"/>
    <w:lvl w:ilvl="0">
      <w:start w:val="1"/>
      <w:numFmt w:val="bullet"/>
      <w:lvlText w:val="—"/>
      <w:lvlJc w:val="left"/>
      <w:pPr>
        <w:tabs>
          <w:tab w:val="num" w:pos="-850"/>
        </w:tabs>
        <w:ind w:left="572" w:hanging="855"/>
      </w:pPr>
      <w:rPr>
        <w:rFonts w:ascii="Calibri" w:hAnsi="Calibri" w:cs="Calibri" w:hint="default"/>
      </w:rPr>
    </w:lvl>
    <w:lvl w:ilvl="1">
      <w:start w:val="1"/>
      <w:numFmt w:val="bullet"/>
      <w:lvlText w:val="o"/>
      <w:lvlJc w:val="left"/>
      <w:pPr>
        <w:tabs>
          <w:tab w:val="num" w:pos="-850"/>
        </w:tabs>
        <w:ind w:left="797" w:hanging="360"/>
      </w:pPr>
      <w:rPr>
        <w:rFonts w:ascii="Courier New" w:hAnsi="Courier New" w:cs="Courier New" w:hint="default"/>
      </w:rPr>
    </w:lvl>
    <w:lvl w:ilvl="2">
      <w:start w:val="1"/>
      <w:numFmt w:val="bullet"/>
      <w:lvlText w:val=""/>
      <w:lvlJc w:val="left"/>
      <w:pPr>
        <w:tabs>
          <w:tab w:val="num" w:pos="-850"/>
        </w:tabs>
        <w:ind w:left="1517" w:hanging="360"/>
      </w:pPr>
      <w:rPr>
        <w:rFonts w:ascii="Wingdings" w:hAnsi="Wingdings" w:cs="Wingdings" w:hint="default"/>
      </w:rPr>
    </w:lvl>
    <w:lvl w:ilvl="3">
      <w:start w:val="1"/>
      <w:numFmt w:val="bullet"/>
      <w:lvlText w:val=""/>
      <w:lvlJc w:val="left"/>
      <w:pPr>
        <w:tabs>
          <w:tab w:val="num" w:pos="-850"/>
        </w:tabs>
        <w:ind w:left="2237" w:hanging="360"/>
      </w:pPr>
      <w:rPr>
        <w:rFonts w:ascii="Symbol" w:hAnsi="Symbol" w:cs="Symbol" w:hint="default"/>
      </w:rPr>
    </w:lvl>
    <w:lvl w:ilvl="4">
      <w:start w:val="1"/>
      <w:numFmt w:val="bullet"/>
      <w:lvlText w:val="o"/>
      <w:lvlJc w:val="left"/>
      <w:pPr>
        <w:tabs>
          <w:tab w:val="num" w:pos="-850"/>
        </w:tabs>
        <w:ind w:left="2957" w:hanging="360"/>
      </w:pPr>
      <w:rPr>
        <w:rFonts w:ascii="Courier New" w:hAnsi="Courier New" w:cs="Courier New" w:hint="default"/>
      </w:rPr>
    </w:lvl>
    <w:lvl w:ilvl="5">
      <w:start w:val="1"/>
      <w:numFmt w:val="bullet"/>
      <w:lvlText w:val=""/>
      <w:lvlJc w:val="left"/>
      <w:pPr>
        <w:tabs>
          <w:tab w:val="num" w:pos="-850"/>
        </w:tabs>
        <w:ind w:left="3677" w:hanging="360"/>
      </w:pPr>
      <w:rPr>
        <w:rFonts w:ascii="Wingdings" w:hAnsi="Wingdings" w:cs="Wingdings" w:hint="default"/>
      </w:rPr>
    </w:lvl>
    <w:lvl w:ilvl="6">
      <w:start w:val="1"/>
      <w:numFmt w:val="bullet"/>
      <w:lvlText w:val=""/>
      <w:lvlJc w:val="left"/>
      <w:pPr>
        <w:tabs>
          <w:tab w:val="num" w:pos="-850"/>
        </w:tabs>
        <w:ind w:left="4397" w:hanging="360"/>
      </w:pPr>
      <w:rPr>
        <w:rFonts w:ascii="Symbol" w:hAnsi="Symbol" w:cs="Symbol" w:hint="default"/>
      </w:rPr>
    </w:lvl>
    <w:lvl w:ilvl="7">
      <w:start w:val="1"/>
      <w:numFmt w:val="bullet"/>
      <w:lvlText w:val="o"/>
      <w:lvlJc w:val="left"/>
      <w:pPr>
        <w:tabs>
          <w:tab w:val="num" w:pos="-850"/>
        </w:tabs>
        <w:ind w:left="5117" w:hanging="360"/>
      </w:pPr>
      <w:rPr>
        <w:rFonts w:ascii="Courier New" w:hAnsi="Courier New" w:cs="Courier New" w:hint="default"/>
      </w:rPr>
    </w:lvl>
    <w:lvl w:ilvl="8">
      <w:start w:val="1"/>
      <w:numFmt w:val="bullet"/>
      <w:lvlText w:val=""/>
      <w:lvlJc w:val="left"/>
      <w:pPr>
        <w:tabs>
          <w:tab w:val="num" w:pos="-850"/>
        </w:tabs>
        <w:ind w:left="5837" w:hanging="360"/>
      </w:pPr>
      <w:rPr>
        <w:rFonts w:ascii="Wingdings" w:hAnsi="Wingdings" w:cs="Wingdings" w:hint="default"/>
      </w:rPr>
    </w:lvl>
  </w:abstractNum>
  <w:abstractNum w:abstractNumId="10" w15:restartNumberingAfterBreak="0">
    <w:nsid w:val="3C08387F"/>
    <w:multiLevelType w:val="multilevel"/>
    <w:tmpl w:val="5842781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1" w15:restartNumberingAfterBreak="0">
    <w:nsid w:val="3D9F40E1"/>
    <w:multiLevelType w:val="multilevel"/>
    <w:tmpl w:val="5FC4382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2" w15:restartNumberingAfterBreak="0">
    <w:nsid w:val="47E14365"/>
    <w:multiLevelType w:val="multilevel"/>
    <w:tmpl w:val="8A1CECA2"/>
    <w:lvl w:ilvl="0">
      <w:start w:val="1"/>
      <w:numFmt w:val="bullet"/>
      <w:lvlText w:val=""/>
      <w:lvlJc w:val="left"/>
      <w:pPr>
        <w:tabs>
          <w:tab w:val="num" w:pos="1068"/>
        </w:tabs>
        <w:ind w:left="1068" w:hanging="360"/>
      </w:pPr>
      <w:rPr>
        <w:rFonts w:ascii="Symbol" w:hAnsi="Symbol" w:cs="Symbol" w:hint="default"/>
        <w:sz w:val="20"/>
      </w:rPr>
    </w:lvl>
    <w:lvl w:ilvl="1">
      <w:start w:val="1"/>
      <w:numFmt w:val="decimal"/>
      <w:lvlText w:val="%2."/>
      <w:lvlJc w:val="left"/>
      <w:pPr>
        <w:tabs>
          <w:tab w:val="num" w:pos="0"/>
        </w:tabs>
        <w:ind w:left="1788" w:hanging="360"/>
      </w:pPr>
    </w:lvl>
    <w:lvl w:ilvl="2">
      <w:start w:val="1"/>
      <w:numFmt w:val="bullet"/>
      <w:lvlText w:val=""/>
      <w:lvlJc w:val="left"/>
      <w:pPr>
        <w:tabs>
          <w:tab w:val="num" w:pos="2508"/>
        </w:tabs>
        <w:ind w:left="2508" w:hanging="360"/>
      </w:pPr>
      <w:rPr>
        <w:rFonts w:ascii="Wingdings" w:hAnsi="Wingdings" w:cs="Wingdings" w:hint="default"/>
        <w:sz w:val="20"/>
      </w:rPr>
    </w:lvl>
    <w:lvl w:ilvl="3">
      <w:start w:val="1"/>
      <w:numFmt w:val="bullet"/>
      <w:lvlText w:val=""/>
      <w:lvlJc w:val="left"/>
      <w:pPr>
        <w:tabs>
          <w:tab w:val="num" w:pos="3228"/>
        </w:tabs>
        <w:ind w:left="3228" w:hanging="360"/>
      </w:pPr>
      <w:rPr>
        <w:rFonts w:ascii="Wingdings" w:hAnsi="Wingdings" w:cs="Wingdings" w:hint="default"/>
        <w:sz w:val="20"/>
      </w:rPr>
    </w:lvl>
    <w:lvl w:ilvl="4">
      <w:start w:val="1"/>
      <w:numFmt w:val="bullet"/>
      <w:lvlText w:val=""/>
      <w:lvlJc w:val="left"/>
      <w:pPr>
        <w:tabs>
          <w:tab w:val="num" w:pos="3948"/>
        </w:tabs>
        <w:ind w:left="3948" w:hanging="360"/>
      </w:pPr>
      <w:rPr>
        <w:rFonts w:ascii="Wingdings" w:hAnsi="Wingdings" w:cs="Wingdings" w:hint="default"/>
        <w:sz w:val="20"/>
      </w:rPr>
    </w:lvl>
    <w:lvl w:ilvl="5">
      <w:start w:val="1"/>
      <w:numFmt w:val="bullet"/>
      <w:lvlText w:val=""/>
      <w:lvlJc w:val="left"/>
      <w:pPr>
        <w:tabs>
          <w:tab w:val="num" w:pos="4668"/>
        </w:tabs>
        <w:ind w:left="4668" w:hanging="360"/>
      </w:pPr>
      <w:rPr>
        <w:rFonts w:ascii="Wingdings" w:hAnsi="Wingdings" w:cs="Wingdings" w:hint="default"/>
        <w:sz w:val="20"/>
      </w:rPr>
    </w:lvl>
    <w:lvl w:ilvl="6">
      <w:start w:val="1"/>
      <w:numFmt w:val="bullet"/>
      <w:lvlText w:val=""/>
      <w:lvlJc w:val="left"/>
      <w:pPr>
        <w:tabs>
          <w:tab w:val="num" w:pos="5388"/>
        </w:tabs>
        <w:ind w:left="5388" w:hanging="360"/>
      </w:pPr>
      <w:rPr>
        <w:rFonts w:ascii="Wingdings" w:hAnsi="Wingdings" w:cs="Wingdings" w:hint="default"/>
        <w:sz w:val="20"/>
      </w:rPr>
    </w:lvl>
    <w:lvl w:ilvl="7">
      <w:start w:val="1"/>
      <w:numFmt w:val="bullet"/>
      <w:lvlText w:val=""/>
      <w:lvlJc w:val="left"/>
      <w:pPr>
        <w:tabs>
          <w:tab w:val="num" w:pos="6108"/>
        </w:tabs>
        <w:ind w:left="6108" w:hanging="360"/>
      </w:pPr>
      <w:rPr>
        <w:rFonts w:ascii="Wingdings" w:hAnsi="Wingdings" w:cs="Wingdings" w:hint="default"/>
        <w:sz w:val="20"/>
      </w:rPr>
    </w:lvl>
    <w:lvl w:ilvl="8">
      <w:start w:val="1"/>
      <w:numFmt w:val="bullet"/>
      <w:lvlText w:val=""/>
      <w:lvlJc w:val="left"/>
      <w:pPr>
        <w:tabs>
          <w:tab w:val="num" w:pos="6828"/>
        </w:tabs>
        <w:ind w:left="6828" w:hanging="360"/>
      </w:pPr>
      <w:rPr>
        <w:rFonts w:ascii="Wingdings" w:hAnsi="Wingdings" w:cs="Wingdings" w:hint="default"/>
        <w:sz w:val="20"/>
      </w:rPr>
    </w:lvl>
  </w:abstractNum>
  <w:abstractNum w:abstractNumId="13" w15:restartNumberingAfterBreak="0">
    <w:nsid w:val="4CFA4BEB"/>
    <w:multiLevelType w:val="multilevel"/>
    <w:tmpl w:val="698CAF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D0B695A"/>
    <w:multiLevelType w:val="multilevel"/>
    <w:tmpl w:val="C9E4B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3158BB"/>
    <w:multiLevelType w:val="multilevel"/>
    <w:tmpl w:val="9566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0C2E98"/>
    <w:multiLevelType w:val="hybridMultilevel"/>
    <w:tmpl w:val="87042BD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57B05634"/>
    <w:multiLevelType w:val="multilevel"/>
    <w:tmpl w:val="8424D1F0"/>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8" w15:restartNumberingAfterBreak="0">
    <w:nsid w:val="5C9037F2"/>
    <w:multiLevelType w:val="multilevel"/>
    <w:tmpl w:val="108E9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553323"/>
    <w:multiLevelType w:val="multilevel"/>
    <w:tmpl w:val="030AE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B8417C"/>
    <w:multiLevelType w:val="multilevel"/>
    <w:tmpl w:val="D452CCF6"/>
    <w:lvl w:ilvl="0">
      <w:start w:val="1"/>
      <w:numFmt w:val="bullet"/>
      <w:pStyle w:val="Liste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6D09395E"/>
    <w:multiLevelType w:val="multilevel"/>
    <w:tmpl w:val="34201B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7D3B1FAD"/>
    <w:multiLevelType w:val="multilevel"/>
    <w:tmpl w:val="DBC6C48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3" w15:restartNumberingAfterBreak="0">
    <w:nsid w:val="7DB84320"/>
    <w:multiLevelType w:val="multilevel"/>
    <w:tmpl w:val="C5502DF6"/>
    <w:lvl w:ilvl="0">
      <w:start w:val="1"/>
      <w:numFmt w:val="bullet"/>
      <w:pStyle w:val="Aufzhlungszeichen"/>
      <w:lvlText w:val="—"/>
      <w:lvlJc w:val="left"/>
      <w:pPr>
        <w:tabs>
          <w:tab w:val="num" w:pos="357"/>
        </w:tabs>
        <w:ind w:left="360" w:hanging="360"/>
      </w:pPr>
      <w:rPr>
        <w:rFonts w:ascii="Calibri Light" w:hAnsi="Calibri Light" w:cs="Calibri Light" w:hint="default"/>
      </w:rPr>
    </w:lvl>
    <w:lvl w:ilvl="1">
      <w:start w:val="1"/>
      <w:numFmt w:val="bullet"/>
      <w:pStyle w:val="Aufzhlungszeichen2"/>
      <w:lvlText w:val="–"/>
      <w:lvlJc w:val="left"/>
      <w:pPr>
        <w:tabs>
          <w:tab w:val="num" w:pos="714"/>
        </w:tabs>
        <w:ind w:left="714" w:hanging="354"/>
      </w:pPr>
      <w:rPr>
        <w:rFonts w:ascii="Calibri Light" w:hAnsi="Calibri Light" w:cs="Calibri Light" w:hint="default"/>
      </w:rPr>
    </w:lvl>
    <w:lvl w:ilvl="2">
      <w:start w:val="1"/>
      <w:numFmt w:val="bullet"/>
      <w:pStyle w:val="Aufzhlungszeichen3"/>
      <w:lvlText w:val="-"/>
      <w:lvlJc w:val="left"/>
      <w:pPr>
        <w:tabs>
          <w:tab w:val="num" w:pos="1072"/>
        </w:tabs>
        <w:ind w:left="1072" w:hanging="358"/>
      </w:pPr>
      <w:rPr>
        <w:rFonts w:ascii="Calibri Light" w:hAnsi="Calibri Light" w:cs="Calibri Light" w:hint="default"/>
      </w:rPr>
    </w:lvl>
    <w:lvl w:ilvl="3">
      <w:start w:val="1"/>
      <w:numFmt w:val="bullet"/>
      <w:pStyle w:val="Aufzhlungszeichen4"/>
      <w:lvlText w:val="·"/>
      <w:lvlJc w:val="left"/>
      <w:pPr>
        <w:tabs>
          <w:tab w:val="num" w:pos="1429"/>
        </w:tabs>
        <w:ind w:left="1429" w:hanging="357"/>
      </w:pPr>
      <w:rPr>
        <w:rFonts w:ascii="Calibri Light" w:hAnsi="Calibri Light" w:cs="Calibri Light"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num w:numId="1" w16cid:durableId="95105721">
    <w:abstractNumId w:val="20"/>
  </w:num>
  <w:num w:numId="2" w16cid:durableId="1340811914">
    <w:abstractNumId w:val="8"/>
  </w:num>
  <w:num w:numId="3" w16cid:durableId="373166095">
    <w:abstractNumId w:val="4"/>
  </w:num>
  <w:num w:numId="4" w16cid:durableId="1628927672">
    <w:abstractNumId w:val="23"/>
  </w:num>
  <w:num w:numId="5" w16cid:durableId="90979753">
    <w:abstractNumId w:val="12"/>
  </w:num>
  <w:num w:numId="6" w16cid:durableId="473108303">
    <w:abstractNumId w:val="7"/>
  </w:num>
  <w:num w:numId="7" w16cid:durableId="17969059">
    <w:abstractNumId w:val="9"/>
  </w:num>
  <w:num w:numId="8" w16cid:durableId="1873565991">
    <w:abstractNumId w:val="0"/>
  </w:num>
  <w:num w:numId="9" w16cid:durableId="1472987692">
    <w:abstractNumId w:val="13"/>
  </w:num>
  <w:num w:numId="10" w16cid:durableId="613638620">
    <w:abstractNumId w:val="6"/>
  </w:num>
  <w:num w:numId="11" w16cid:durableId="484326067">
    <w:abstractNumId w:val="22"/>
  </w:num>
  <w:num w:numId="12" w16cid:durableId="1845784090">
    <w:abstractNumId w:val="17"/>
  </w:num>
  <w:num w:numId="13" w16cid:durableId="285047786">
    <w:abstractNumId w:val="11"/>
  </w:num>
  <w:num w:numId="14" w16cid:durableId="1195774366">
    <w:abstractNumId w:val="21"/>
  </w:num>
  <w:num w:numId="15" w16cid:durableId="843252767">
    <w:abstractNumId w:val="10"/>
  </w:num>
  <w:num w:numId="16" w16cid:durableId="1212039898">
    <w:abstractNumId w:val="4"/>
  </w:num>
  <w:num w:numId="17" w16cid:durableId="913049178">
    <w:abstractNumId w:val="4"/>
  </w:num>
  <w:num w:numId="18" w16cid:durableId="815992234">
    <w:abstractNumId w:val="4"/>
  </w:num>
  <w:num w:numId="19" w16cid:durableId="975528898">
    <w:abstractNumId w:val="4"/>
  </w:num>
  <w:num w:numId="20" w16cid:durableId="960917382">
    <w:abstractNumId w:val="4"/>
  </w:num>
  <w:num w:numId="21" w16cid:durableId="1076437187">
    <w:abstractNumId w:val="4"/>
  </w:num>
  <w:num w:numId="22" w16cid:durableId="1376589480">
    <w:abstractNumId w:val="16"/>
  </w:num>
  <w:num w:numId="23" w16cid:durableId="1152525309">
    <w:abstractNumId w:val="14"/>
  </w:num>
  <w:num w:numId="24" w16cid:durableId="1276132232">
    <w:abstractNumId w:val="3"/>
  </w:num>
  <w:num w:numId="25" w16cid:durableId="1240403980">
    <w:abstractNumId w:val="19"/>
  </w:num>
  <w:num w:numId="26" w16cid:durableId="748430217">
    <w:abstractNumId w:val="2"/>
  </w:num>
  <w:num w:numId="27" w16cid:durableId="748112120">
    <w:abstractNumId w:val="5"/>
  </w:num>
  <w:num w:numId="28" w16cid:durableId="983050647">
    <w:abstractNumId w:val="18"/>
  </w:num>
  <w:num w:numId="29" w16cid:durableId="1020863002">
    <w:abstractNumId w:val="15"/>
  </w:num>
  <w:num w:numId="30" w16cid:durableId="4409952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61A"/>
    <w:rsid w:val="00012F6F"/>
    <w:rsid w:val="00013CCF"/>
    <w:rsid w:val="00016938"/>
    <w:rsid w:val="0002347A"/>
    <w:rsid w:val="000410B2"/>
    <w:rsid w:val="0004139D"/>
    <w:rsid w:val="000421C1"/>
    <w:rsid w:val="000448E3"/>
    <w:rsid w:val="00053F5C"/>
    <w:rsid w:val="000564B2"/>
    <w:rsid w:val="00063696"/>
    <w:rsid w:val="00064962"/>
    <w:rsid w:val="000701AA"/>
    <w:rsid w:val="00071468"/>
    <w:rsid w:val="00074839"/>
    <w:rsid w:val="00085AFB"/>
    <w:rsid w:val="00086E3D"/>
    <w:rsid w:val="00091613"/>
    <w:rsid w:val="000A5CCC"/>
    <w:rsid w:val="000D35C2"/>
    <w:rsid w:val="000E1280"/>
    <w:rsid w:val="000E2315"/>
    <w:rsid w:val="000E62FD"/>
    <w:rsid w:val="001003B1"/>
    <w:rsid w:val="001051E3"/>
    <w:rsid w:val="00105CB9"/>
    <w:rsid w:val="00106754"/>
    <w:rsid w:val="00113C85"/>
    <w:rsid w:val="00115BDE"/>
    <w:rsid w:val="00116C61"/>
    <w:rsid w:val="00123BE0"/>
    <w:rsid w:val="0013429D"/>
    <w:rsid w:val="00136A49"/>
    <w:rsid w:val="00144016"/>
    <w:rsid w:val="00152486"/>
    <w:rsid w:val="00155F29"/>
    <w:rsid w:val="0016524A"/>
    <w:rsid w:val="00172BC6"/>
    <w:rsid w:val="0017447C"/>
    <w:rsid w:val="0018124B"/>
    <w:rsid w:val="00181C85"/>
    <w:rsid w:val="0019198F"/>
    <w:rsid w:val="00194F7A"/>
    <w:rsid w:val="00196C9A"/>
    <w:rsid w:val="00197D81"/>
    <w:rsid w:val="001A44FD"/>
    <w:rsid w:val="001A46FB"/>
    <w:rsid w:val="001B2784"/>
    <w:rsid w:val="001C183A"/>
    <w:rsid w:val="001C3A3D"/>
    <w:rsid w:val="001C4F69"/>
    <w:rsid w:val="001D5187"/>
    <w:rsid w:val="001D6687"/>
    <w:rsid w:val="001E0BE6"/>
    <w:rsid w:val="001E1D4C"/>
    <w:rsid w:val="001E5206"/>
    <w:rsid w:val="002014E9"/>
    <w:rsid w:val="00205C37"/>
    <w:rsid w:val="002242F5"/>
    <w:rsid w:val="00227C3E"/>
    <w:rsid w:val="002300D3"/>
    <w:rsid w:val="00243E9C"/>
    <w:rsid w:val="0024663F"/>
    <w:rsid w:val="00246837"/>
    <w:rsid w:val="00247501"/>
    <w:rsid w:val="0025705E"/>
    <w:rsid w:val="0026341C"/>
    <w:rsid w:val="00263D6D"/>
    <w:rsid w:val="00264550"/>
    <w:rsid w:val="00273AD1"/>
    <w:rsid w:val="00274459"/>
    <w:rsid w:val="00282BC5"/>
    <w:rsid w:val="00292DD5"/>
    <w:rsid w:val="0029425F"/>
    <w:rsid w:val="002A4809"/>
    <w:rsid w:val="002A5B2E"/>
    <w:rsid w:val="002B3899"/>
    <w:rsid w:val="002C5099"/>
    <w:rsid w:val="002C693F"/>
    <w:rsid w:val="002D1E90"/>
    <w:rsid w:val="002D3B19"/>
    <w:rsid w:val="002E651D"/>
    <w:rsid w:val="002F468F"/>
    <w:rsid w:val="002F7905"/>
    <w:rsid w:val="0030105B"/>
    <w:rsid w:val="003057B5"/>
    <w:rsid w:val="00321733"/>
    <w:rsid w:val="0032610B"/>
    <w:rsid w:val="00332DA2"/>
    <w:rsid w:val="0033610A"/>
    <w:rsid w:val="003435BE"/>
    <w:rsid w:val="00343C86"/>
    <w:rsid w:val="00346462"/>
    <w:rsid w:val="00351ACB"/>
    <w:rsid w:val="0038186F"/>
    <w:rsid w:val="0038242F"/>
    <w:rsid w:val="00386BE1"/>
    <w:rsid w:val="00387EAB"/>
    <w:rsid w:val="00393A2F"/>
    <w:rsid w:val="00397B76"/>
    <w:rsid w:val="003A670B"/>
    <w:rsid w:val="003B3E40"/>
    <w:rsid w:val="003C0922"/>
    <w:rsid w:val="003C28FE"/>
    <w:rsid w:val="003C62F3"/>
    <w:rsid w:val="003C7FE0"/>
    <w:rsid w:val="003D44F2"/>
    <w:rsid w:val="003D4696"/>
    <w:rsid w:val="003D5E8D"/>
    <w:rsid w:val="003E0249"/>
    <w:rsid w:val="003E24F5"/>
    <w:rsid w:val="00400943"/>
    <w:rsid w:val="00401401"/>
    <w:rsid w:val="00404B16"/>
    <w:rsid w:val="004173A3"/>
    <w:rsid w:val="00420160"/>
    <w:rsid w:val="00420999"/>
    <w:rsid w:val="00424583"/>
    <w:rsid w:val="00433452"/>
    <w:rsid w:val="00436650"/>
    <w:rsid w:val="004375B4"/>
    <w:rsid w:val="004413A8"/>
    <w:rsid w:val="00443175"/>
    <w:rsid w:val="0044563C"/>
    <w:rsid w:val="00451166"/>
    <w:rsid w:val="004513A6"/>
    <w:rsid w:val="00451AB2"/>
    <w:rsid w:val="004531C0"/>
    <w:rsid w:val="00455454"/>
    <w:rsid w:val="00460308"/>
    <w:rsid w:val="004673A8"/>
    <w:rsid w:val="0047024D"/>
    <w:rsid w:val="00473D85"/>
    <w:rsid w:val="0047637E"/>
    <w:rsid w:val="00481AAB"/>
    <w:rsid w:val="00482FC2"/>
    <w:rsid w:val="00483468"/>
    <w:rsid w:val="00495535"/>
    <w:rsid w:val="004A5675"/>
    <w:rsid w:val="004B0547"/>
    <w:rsid w:val="004B233B"/>
    <w:rsid w:val="004B522B"/>
    <w:rsid w:val="004B624D"/>
    <w:rsid w:val="004C6CB0"/>
    <w:rsid w:val="004D2017"/>
    <w:rsid w:val="004D4E33"/>
    <w:rsid w:val="004E302F"/>
    <w:rsid w:val="004E6805"/>
    <w:rsid w:val="004F3261"/>
    <w:rsid w:val="004F3B05"/>
    <w:rsid w:val="004F4E0E"/>
    <w:rsid w:val="004F7C7C"/>
    <w:rsid w:val="00500276"/>
    <w:rsid w:val="00503319"/>
    <w:rsid w:val="00504299"/>
    <w:rsid w:val="005054E3"/>
    <w:rsid w:val="005077C5"/>
    <w:rsid w:val="00513E5E"/>
    <w:rsid w:val="00525088"/>
    <w:rsid w:val="00537376"/>
    <w:rsid w:val="0054130F"/>
    <w:rsid w:val="00541B3B"/>
    <w:rsid w:val="00545C6B"/>
    <w:rsid w:val="00555BB7"/>
    <w:rsid w:val="00566184"/>
    <w:rsid w:val="00591955"/>
    <w:rsid w:val="005921B0"/>
    <w:rsid w:val="005A0B4C"/>
    <w:rsid w:val="005A27FE"/>
    <w:rsid w:val="005B166B"/>
    <w:rsid w:val="005B6BA0"/>
    <w:rsid w:val="005C41EC"/>
    <w:rsid w:val="005C71C8"/>
    <w:rsid w:val="005D094F"/>
    <w:rsid w:val="005D60B1"/>
    <w:rsid w:val="005E0A73"/>
    <w:rsid w:val="005E7B95"/>
    <w:rsid w:val="005F4EE4"/>
    <w:rsid w:val="00605EF1"/>
    <w:rsid w:val="0062015B"/>
    <w:rsid w:val="00620450"/>
    <w:rsid w:val="0062192B"/>
    <w:rsid w:val="00622CC6"/>
    <w:rsid w:val="00636846"/>
    <w:rsid w:val="006371D3"/>
    <w:rsid w:val="00645966"/>
    <w:rsid w:val="00646983"/>
    <w:rsid w:val="00646F4B"/>
    <w:rsid w:val="006543F1"/>
    <w:rsid w:val="00660C51"/>
    <w:rsid w:val="006647A1"/>
    <w:rsid w:val="00673DF8"/>
    <w:rsid w:val="00675AF0"/>
    <w:rsid w:val="00677C22"/>
    <w:rsid w:val="0068131C"/>
    <w:rsid w:val="00681F32"/>
    <w:rsid w:val="0068567C"/>
    <w:rsid w:val="00691717"/>
    <w:rsid w:val="006943A4"/>
    <w:rsid w:val="00696B57"/>
    <w:rsid w:val="006A062B"/>
    <w:rsid w:val="006A4A9C"/>
    <w:rsid w:val="006A62F6"/>
    <w:rsid w:val="006A6914"/>
    <w:rsid w:val="006C3CC1"/>
    <w:rsid w:val="006D66BE"/>
    <w:rsid w:val="006E147A"/>
    <w:rsid w:val="006E50D2"/>
    <w:rsid w:val="006E7E47"/>
    <w:rsid w:val="006F4F03"/>
    <w:rsid w:val="00702330"/>
    <w:rsid w:val="00702754"/>
    <w:rsid w:val="0072170E"/>
    <w:rsid w:val="00722C58"/>
    <w:rsid w:val="00726FF9"/>
    <w:rsid w:val="00727C99"/>
    <w:rsid w:val="007333D7"/>
    <w:rsid w:val="00734295"/>
    <w:rsid w:val="007357BB"/>
    <w:rsid w:val="007506D6"/>
    <w:rsid w:val="007574E8"/>
    <w:rsid w:val="00757C5E"/>
    <w:rsid w:val="00760455"/>
    <w:rsid w:val="00761CF8"/>
    <w:rsid w:val="0078761A"/>
    <w:rsid w:val="00791686"/>
    <w:rsid w:val="00794D11"/>
    <w:rsid w:val="007B20C1"/>
    <w:rsid w:val="007C112F"/>
    <w:rsid w:val="007C1E68"/>
    <w:rsid w:val="007C79B7"/>
    <w:rsid w:val="007D44B7"/>
    <w:rsid w:val="007E3B71"/>
    <w:rsid w:val="007F77B0"/>
    <w:rsid w:val="0080275F"/>
    <w:rsid w:val="0081173E"/>
    <w:rsid w:val="00814D89"/>
    <w:rsid w:val="00816F84"/>
    <w:rsid w:val="00820B8B"/>
    <w:rsid w:val="008211C6"/>
    <w:rsid w:val="00826A7B"/>
    <w:rsid w:val="00831B96"/>
    <w:rsid w:val="00835F88"/>
    <w:rsid w:val="00862736"/>
    <w:rsid w:val="00864058"/>
    <w:rsid w:val="00866DD0"/>
    <w:rsid w:val="008723F2"/>
    <w:rsid w:val="00876F53"/>
    <w:rsid w:val="00881FDC"/>
    <w:rsid w:val="00884197"/>
    <w:rsid w:val="008B3E11"/>
    <w:rsid w:val="008B4690"/>
    <w:rsid w:val="008C0DF6"/>
    <w:rsid w:val="008D4CEA"/>
    <w:rsid w:val="008D66E0"/>
    <w:rsid w:val="008E0409"/>
    <w:rsid w:val="008E16FD"/>
    <w:rsid w:val="008F05EF"/>
    <w:rsid w:val="00921188"/>
    <w:rsid w:val="0092160F"/>
    <w:rsid w:val="00923E59"/>
    <w:rsid w:val="009249E3"/>
    <w:rsid w:val="00925F82"/>
    <w:rsid w:val="0093190D"/>
    <w:rsid w:val="0093274B"/>
    <w:rsid w:val="00936066"/>
    <w:rsid w:val="00942322"/>
    <w:rsid w:val="00942446"/>
    <w:rsid w:val="00944C73"/>
    <w:rsid w:val="00947B48"/>
    <w:rsid w:val="009551A9"/>
    <w:rsid w:val="00961667"/>
    <w:rsid w:val="009626D4"/>
    <w:rsid w:val="00971140"/>
    <w:rsid w:val="00972F3E"/>
    <w:rsid w:val="00973056"/>
    <w:rsid w:val="00977590"/>
    <w:rsid w:val="00983940"/>
    <w:rsid w:val="00985CC7"/>
    <w:rsid w:val="00987EDB"/>
    <w:rsid w:val="009952A9"/>
    <w:rsid w:val="00995491"/>
    <w:rsid w:val="009A77EB"/>
    <w:rsid w:val="009B2E33"/>
    <w:rsid w:val="009B3DC4"/>
    <w:rsid w:val="009B40F3"/>
    <w:rsid w:val="009C0D92"/>
    <w:rsid w:val="009C2B52"/>
    <w:rsid w:val="009C75FF"/>
    <w:rsid w:val="009D1914"/>
    <w:rsid w:val="009D3B5B"/>
    <w:rsid w:val="009E7DF3"/>
    <w:rsid w:val="009F05DF"/>
    <w:rsid w:val="009F4499"/>
    <w:rsid w:val="009F5199"/>
    <w:rsid w:val="00A025D5"/>
    <w:rsid w:val="00A02E2C"/>
    <w:rsid w:val="00A045C0"/>
    <w:rsid w:val="00A21FA0"/>
    <w:rsid w:val="00A22613"/>
    <w:rsid w:val="00A23E92"/>
    <w:rsid w:val="00A3050A"/>
    <w:rsid w:val="00A35A87"/>
    <w:rsid w:val="00A35E07"/>
    <w:rsid w:val="00A3749B"/>
    <w:rsid w:val="00A4753D"/>
    <w:rsid w:val="00A50263"/>
    <w:rsid w:val="00A53BF5"/>
    <w:rsid w:val="00A56CCE"/>
    <w:rsid w:val="00A61AC8"/>
    <w:rsid w:val="00A7092F"/>
    <w:rsid w:val="00A73E6D"/>
    <w:rsid w:val="00A76F4A"/>
    <w:rsid w:val="00A95982"/>
    <w:rsid w:val="00A9690C"/>
    <w:rsid w:val="00A96E0E"/>
    <w:rsid w:val="00AA550E"/>
    <w:rsid w:val="00AA6E82"/>
    <w:rsid w:val="00AA7384"/>
    <w:rsid w:val="00AA77E8"/>
    <w:rsid w:val="00AB1BC0"/>
    <w:rsid w:val="00AB2C45"/>
    <w:rsid w:val="00AB2E1E"/>
    <w:rsid w:val="00AB76C2"/>
    <w:rsid w:val="00AC394B"/>
    <w:rsid w:val="00AD0EA3"/>
    <w:rsid w:val="00AD1F33"/>
    <w:rsid w:val="00AE0B8D"/>
    <w:rsid w:val="00AE2AE5"/>
    <w:rsid w:val="00AE7618"/>
    <w:rsid w:val="00AF2FF9"/>
    <w:rsid w:val="00AF3E53"/>
    <w:rsid w:val="00B07CA6"/>
    <w:rsid w:val="00B10C40"/>
    <w:rsid w:val="00B13D3F"/>
    <w:rsid w:val="00B14484"/>
    <w:rsid w:val="00B151F8"/>
    <w:rsid w:val="00B207C2"/>
    <w:rsid w:val="00B21F46"/>
    <w:rsid w:val="00B23055"/>
    <w:rsid w:val="00B34D6E"/>
    <w:rsid w:val="00B52866"/>
    <w:rsid w:val="00B670FD"/>
    <w:rsid w:val="00B71C1E"/>
    <w:rsid w:val="00B821D8"/>
    <w:rsid w:val="00B86156"/>
    <w:rsid w:val="00B86E9B"/>
    <w:rsid w:val="00BA56F8"/>
    <w:rsid w:val="00BA7DB4"/>
    <w:rsid w:val="00BB3EF8"/>
    <w:rsid w:val="00BE0DB0"/>
    <w:rsid w:val="00BE30C6"/>
    <w:rsid w:val="00BE3C91"/>
    <w:rsid w:val="00BE6471"/>
    <w:rsid w:val="00BF40EE"/>
    <w:rsid w:val="00BF4711"/>
    <w:rsid w:val="00BF60B8"/>
    <w:rsid w:val="00BF68D9"/>
    <w:rsid w:val="00BF6D4A"/>
    <w:rsid w:val="00C0069E"/>
    <w:rsid w:val="00C1017E"/>
    <w:rsid w:val="00C102E2"/>
    <w:rsid w:val="00C11B2B"/>
    <w:rsid w:val="00C13C4E"/>
    <w:rsid w:val="00C16187"/>
    <w:rsid w:val="00C240BD"/>
    <w:rsid w:val="00C33938"/>
    <w:rsid w:val="00C363CC"/>
    <w:rsid w:val="00C364F7"/>
    <w:rsid w:val="00C41F69"/>
    <w:rsid w:val="00C510A6"/>
    <w:rsid w:val="00C61DDE"/>
    <w:rsid w:val="00C62D3F"/>
    <w:rsid w:val="00C643FB"/>
    <w:rsid w:val="00C6514E"/>
    <w:rsid w:val="00C65896"/>
    <w:rsid w:val="00C66ED4"/>
    <w:rsid w:val="00C71E45"/>
    <w:rsid w:val="00C85F39"/>
    <w:rsid w:val="00C93CC1"/>
    <w:rsid w:val="00C9456F"/>
    <w:rsid w:val="00CA7192"/>
    <w:rsid w:val="00CC544E"/>
    <w:rsid w:val="00CC69A3"/>
    <w:rsid w:val="00CD1C3F"/>
    <w:rsid w:val="00CD5D26"/>
    <w:rsid w:val="00CE37F0"/>
    <w:rsid w:val="00CE6552"/>
    <w:rsid w:val="00CE700F"/>
    <w:rsid w:val="00CF4DFA"/>
    <w:rsid w:val="00D02F9F"/>
    <w:rsid w:val="00D040BE"/>
    <w:rsid w:val="00D04E0F"/>
    <w:rsid w:val="00D14B8D"/>
    <w:rsid w:val="00D201FA"/>
    <w:rsid w:val="00D20351"/>
    <w:rsid w:val="00D2099C"/>
    <w:rsid w:val="00D372C4"/>
    <w:rsid w:val="00D525C8"/>
    <w:rsid w:val="00D54343"/>
    <w:rsid w:val="00D55191"/>
    <w:rsid w:val="00D63595"/>
    <w:rsid w:val="00D71FA6"/>
    <w:rsid w:val="00D743D2"/>
    <w:rsid w:val="00D871C1"/>
    <w:rsid w:val="00D901E8"/>
    <w:rsid w:val="00D932FC"/>
    <w:rsid w:val="00DA1E00"/>
    <w:rsid w:val="00DA498F"/>
    <w:rsid w:val="00DB2199"/>
    <w:rsid w:val="00DC3923"/>
    <w:rsid w:val="00DD6543"/>
    <w:rsid w:val="00DE5338"/>
    <w:rsid w:val="00DF3E12"/>
    <w:rsid w:val="00DF50D3"/>
    <w:rsid w:val="00DF65E0"/>
    <w:rsid w:val="00DF6F61"/>
    <w:rsid w:val="00E04311"/>
    <w:rsid w:val="00E06C1B"/>
    <w:rsid w:val="00E12A80"/>
    <w:rsid w:val="00E14D09"/>
    <w:rsid w:val="00E14E3B"/>
    <w:rsid w:val="00E25D3D"/>
    <w:rsid w:val="00E36293"/>
    <w:rsid w:val="00E516CB"/>
    <w:rsid w:val="00E53A78"/>
    <w:rsid w:val="00E56A6F"/>
    <w:rsid w:val="00E5729D"/>
    <w:rsid w:val="00E712EB"/>
    <w:rsid w:val="00E7570D"/>
    <w:rsid w:val="00E80E6A"/>
    <w:rsid w:val="00EA099F"/>
    <w:rsid w:val="00EA2328"/>
    <w:rsid w:val="00EA74E8"/>
    <w:rsid w:val="00EB6488"/>
    <w:rsid w:val="00EC4C93"/>
    <w:rsid w:val="00ED2D27"/>
    <w:rsid w:val="00ED5D23"/>
    <w:rsid w:val="00EF12F6"/>
    <w:rsid w:val="00EF276F"/>
    <w:rsid w:val="00EF298B"/>
    <w:rsid w:val="00F10363"/>
    <w:rsid w:val="00F12BF0"/>
    <w:rsid w:val="00F20A3A"/>
    <w:rsid w:val="00F22963"/>
    <w:rsid w:val="00F22980"/>
    <w:rsid w:val="00F26724"/>
    <w:rsid w:val="00F31DA9"/>
    <w:rsid w:val="00F34F43"/>
    <w:rsid w:val="00F36286"/>
    <w:rsid w:val="00F41AA5"/>
    <w:rsid w:val="00F43A44"/>
    <w:rsid w:val="00F44136"/>
    <w:rsid w:val="00F556EF"/>
    <w:rsid w:val="00F55ADC"/>
    <w:rsid w:val="00F571E3"/>
    <w:rsid w:val="00F64556"/>
    <w:rsid w:val="00F65F04"/>
    <w:rsid w:val="00F74650"/>
    <w:rsid w:val="00F845BC"/>
    <w:rsid w:val="00F86A47"/>
    <w:rsid w:val="00F93024"/>
    <w:rsid w:val="00FB4F16"/>
    <w:rsid w:val="00FC5A69"/>
    <w:rsid w:val="00FC6DDC"/>
    <w:rsid w:val="00FD5C88"/>
    <w:rsid w:val="00FE4DC4"/>
    <w:rsid w:val="00FF362A"/>
    <w:rsid w:val="00FF6457"/>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0F36E4"/>
  <w15:docId w15:val="{D8B9325A-CADF-48EF-A8FB-029A15788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60" w:after="60"/>
      <w:jc w:val="both"/>
    </w:pPr>
    <w:rPr>
      <w:rFonts w:eastAsia="Times New Roman" w:cs="Times New Roman"/>
      <w:szCs w:val="20"/>
    </w:rPr>
  </w:style>
  <w:style w:type="paragraph" w:styleId="berschrift1">
    <w:name w:val="heading 1"/>
    <w:basedOn w:val="Standard"/>
    <w:next w:val="Standard"/>
    <w:link w:val="berschrift1Zchn"/>
    <w:qFormat/>
    <w:pPr>
      <w:keepNext/>
      <w:numPr>
        <w:numId w:val="3"/>
      </w:numPr>
      <w:spacing w:after="160"/>
      <w:jc w:val="left"/>
      <w:outlineLvl w:val="0"/>
    </w:pPr>
    <w:rPr>
      <w:b/>
      <w:sz w:val="28"/>
      <w:szCs w:val="26"/>
    </w:rPr>
  </w:style>
  <w:style w:type="paragraph" w:styleId="berschrift2">
    <w:name w:val="heading 2"/>
    <w:basedOn w:val="berschrift1"/>
    <w:next w:val="Standard"/>
    <w:link w:val="berschrift2Zchn"/>
    <w:qFormat/>
    <w:pPr>
      <w:spacing w:before="120" w:after="60"/>
      <w:jc w:val="both"/>
      <w:outlineLvl w:val="1"/>
    </w:pPr>
    <w:rPr>
      <w:sz w:val="24"/>
    </w:rPr>
  </w:style>
  <w:style w:type="paragraph" w:styleId="berschrift3">
    <w:name w:val="heading 3"/>
    <w:basedOn w:val="berschrift2"/>
    <w:next w:val="Standard"/>
    <w:link w:val="berschrift3Zchn"/>
    <w:qFormat/>
    <w:pPr>
      <w:ind w:left="437"/>
      <w:outlineLvl w:val="2"/>
    </w:pPr>
    <w:rPr>
      <w:sz w:val="22"/>
    </w:rPr>
  </w:style>
  <w:style w:type="paragraph" w:styleId="berschrift4">
    <w:name w:val="heading 4"/>
    <w:basedOn w:val="berschrift3"/>
    <w:next w:val="Standard"/>
    <w:link w:val="berschrift4Zchn"/>
    <w:qFormat/>
    <w:pPr>
      <w:ind w:left="595"/>
      <w:outlineLvl w:val="3"/>
    </w:pPr>
  </w:style>
  <w:style w:type="paragraph" w:styleId="berschrift5">
    <w:name w:val="heading 5"/>
    <w:basedOn w:val="berschrift4"/>
    <w:next w:val="Standard"/>
    <w:link w:val="berschrift5Zchn"/>
    <w:qFormat/>
    <w:pPr>
      <w:numPr>
        <w:numId w:val="0"/>
      </w:numPr>
      <w:tabs>
        <w:tab w:val="left" w:pos="0"/>
      </w:tabs>
      <w:ind w:left="357" w:hanging="357"/>
      <w:outlineLvl w:val="4"/>
    </w:pPr>
    <w:rPr>
      <w:sz w:val="18"/>
    </w:rPr>
  </w:style>
  <w:style w:type="paragraph" w:styleId="berschrift6">
    <w:name w:val="heading 6"/>
    <w:basedOn w:val="berschrift4"/>
    <w:next w:val="Standard"/>
    <w:link w:val="berschrift6Zchn"/>
    <w:qFormat/>
    <w:pPr>
      <w:numPr>
        <w:numId w:val="0"/>
      </w:numPr>
      <w:ind w:left="595" w:hanging="360"/>
      <w:outlineLvl w:val="5"/>
    </w:p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asciiTheme="majorHAnsi" w:eastAsiaTheme="majorEastAsia" w:hAnsiTheme="majorHAnsi" w:cstheme="majorBidi"/>
      <w:i/>
      <w:iCs/>
      <w:color w:val="747070" w:themeColor="accent1" w:themeShade="7F"/>
    </w:rPr>
  </w:style>
  <w:style w:type="paragraph" w:styleId="berschrift8">
    <w:name w:val="heading 8"/>
    <w:basedOn w:val="Standard"/>
    <w:next w:val="Standard"/>
    <w:link w:val="berschrift8Zchn"/>
    <w:uiPriority w:val="9"/>
    <w:semiHidden/>
    <w:unhideWhenUsed/>
    <w:qFormat/>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qFormat/>
    <w:rPr>
      <w:color w:val="666666"/>
    </w:rPr>
  </w:style>
  <w:style w:type="character" w:customStyle="1" w:styleId="TitleChar">
    <w:name w:val="Title Char"/>
    <w:basedOn w:val="Absatz-Standardschriftart"/>
    <w:uiPriority w:val="10"/>
    <w:qFormat/>
    <w:rPr>
      <w:rFonts w:ascii="Arial" w:eastAsia="Arial" w:hAnsi="Arial" w:cs="Arial"/>
      <w:spacing w:val="-10"/>
      <w:sz w:val="56"/>
      <w:szCs w:val="56"/>
    </w:rPr>
  </w:style>
  <w:style w:type="character" w:customStyle="1" w:styleId="SubtitleChar">
    <w:name w:val="Subtitle Char"/>
    <w:basedOn w:val="Absatz-Standardschriftart"/>
    <w:uiPriority w:val="11"/>
    <w:qFormat/>
    <w:rPr>
      <w:color w:val="595959" w:themeColor="text1" w:themeTint="A6"/>
      <w:spacing w:val="15"/>
      <w:sz w:val="28"/>
      <w:szCs w:val="28"/>
    </w:rPr>
  </w:style>
  <w:style w:type="character" w:customStyle="1" w:styleId="QuoteChar">
    <w:name w:val="Quote Char"/>
    <w:basedOn w:val="Absatz-Standardschriftart"/>
    <w:uiPriority w:val="29"/>
    <w:qFormat/>
    <w:rPr>
      <w:i/>
      <w:iCs/>
      <w:color w:val="404040" w:themeColor="text1" w:themeTint="BF"/>
    </w:rPr>
  </w:style>
  <w:style w:type="character" w:customStyle="1" w:styleId="FootnoteTextChar">
    <w:name w:val="Footnote Text Char"/>
    <w:basedOn w:val="Absatz-Standardschriftart"/>
    <w:uiPriority w:val="99"/>
    <w:semiHidden/>
    <w:qFormat/>
    <w:rPr>
      <w:sz w:val="20"/>
      <w:szCs w:val="20"/>
    </w:rPr>
  </w:style>
  <w:style w:type="character" w:customStyle="1" w:styleId="EndnoteTextChar">
    <w:name w:val="Endnote Text Char"/>
    <w:basedOn w:val="Absatz-Standardschriftart"/>
    <w:uiPriority w:val="99"/>
    <w:semiHidden/>
    <w:qFormat/>
    <w:rPr>
      <w:sz w:val="20"/>
      <w:szCs w:val="20"/>
    </w:rPr>
  </w:style>
  <w:style w:type="character" w:customStyle="1" w:styleId="Heading1Char">
    <w:name w:val="Heading 1 Char"/>
    <w:basedOn w:val="Absatz-Standardschriftart"/>
    <w:uiPriority w:val="9"/>
    <w:qFormat/>
    <w:rPr>
      <w:rFonts w:ascii="Arial" w:eastAsia="Arial" w:hAnsi="Arial" w:cs="Arial"/>
      <w:color w:val="AEAAAA" w:themeColor="accent1" w:themeShade="BF"/>
      <w:sz w:val="40"/>
      <w:szCs w:val="40"/>
    </w:rPr>
  </w:style>
  <w:style w:type="character" w:customStyle="1" w:styleId="Heading2Char">
    <w:name w:val="Heading 2 Char"/>
    <w:basedOn w:val="Absatz-Standardschriftart"/>
    <w:uiPriority w:val="9"/>
    <w:qFormat/>
    <w:rPr>
      <w:rFonts w:ascii="Arial" w:eastAsia="Arial" w:hAnsi="Arial" w:cs="Arial"/>
      <w:color w:val="AEAAAA" w:themeColor="accent1" w:themeShade="BF"/>
      <w:sz w:val="32"/>
      <w:szCs w:val="32"/>
    </w:rPr>
  </w:style>
  <w:style w:type="character" w:customStyle="1" w:styleId="Heading3Char">
    <w:name w:val="Heading 3 Char"/>
    <w:basedOn w:val="Absatz-Standardschriftart"/>
    <w:uiPriority w:val="9"/>
    <w:qFormat/>
    <w:rPr>
      <w:rFonts w:ascii="Arial" w:eastAsia="Arial" w:hAnsi="Arial" w:cs="Arial"/>
      <w:color w:val="AEAAAA" w:themeColor="accent1" w:themeShade="BF"/>
      <w:sz w:val="28"/>
      <w:szCs w:val="28"/>
    </w:rPr>
  </w:style>
  <w:style w:type="character" w:customStyle="1" w:styleId="Heading4Char">
    <w:name w:val="Heading 4 Char"/>
    <w:basedOn w:val="Absatz-Standardschriftart"/>
    <w:uiPriority w:val="9"/>
    <w:qFormat/>
    <w:rPr>
      <w:rFonts w:ascii="Arial" w:eastAsia="Arial" w:hAnsi="Arial" w:cs="Arial"/>
      <w:i/>
      <w:iCs/>
      <w:color w:val="AEAAAA" w:themeColor="accent1" w:themeShade="BF"/>
    </w:rPr>
  </w:style>
  <w:style w:type="character" w:customStyle="1" w:styleId="Heading5Char">
    <w:name w:val="Heading 5 Char"/>
    <w:basedOn w:val="Absatz-Standardschriftart"/>
    <w:uiPriority w:val="9"/>
    <w:qFormat/>
    <w:rPr>
      <w:rFonts w:ascii="Arial" w:eastAsia="Arial" w:hAnsi="Arial" w:cs="Arial"/>
      <w:color w:val="AEAAAA" w:themeColor="accent1" w:themeShade="BF"/>
    </w:rPr>
  </w:style>
  <w:style w:type="character" w:customStyle="1" w:styleId="Heading6Char">
    <w:name w:val="Heading 6 Char"/>
    <w:basedOn w:val="Absatz-Standardschriftart"/>
    <w:uiPriority w:val="9"/>
    <w:qFormat/>
    <w:rPr>
      <w:rFonts w:ascii="Arial" w:eastAsia="Arial" w:hAnsi="Arial" w:cs="Arial"/>
      <w:i/>
      <w:iCs/>
      <w:color w:val="595959" w:themeColor="text1" w:themeTint="A6"/>
    </w:rPr>
  </w:style>
  <w:style w:type="character" w:customStyle="1" w:styleId="Heading7Char">
    <w:name w:val="Heading 7 Char"/>
    <w:basedOn w:val="Absatz-Standardschriftart"/>
    <w:uiPriority w:val="9"/>
    <w:qFormat/>
    <w:rPr>
      <w:rFonts w:ascii="Arial" w:eastAsia="Arial" w:hAnsi="Arial" w:cs="Arial"/>
      <w:color w:val="595959" w:themeColor="text1" w:themeTint="A6"/>
    </w:rPr>
  </w:style>
  <w:style w:type="character" w:customStyle="1" w:styleId="Heading8Char">
    <w:name w:val="Heading 8 Char"/>
    <w:basedOn w:val="Absatz-Standardschriftart"/>
    <w:uiPriority w:val="9"/>
    <w:qFormat/>
    <w:rPr>
      <w:rFonts w:ascii="Arial" w:eastAsia="Arial" w:hAnsi="Arial" w:cs="Arial"/>
      <w:i/>
      <w:iCs/>
      <w:color w:val="272727" w:themeColor="text1" w:themeTint="D8"/>
    </w:rPr>
  </w:style>
  <w:style w:type="character" w:customStyle="1" w:styleId="Heading9Char">
    <w:name w:val="Heading 9 Char"/>
    <w:basedOn w:val="Absatz-Standardschriftart"/>
    <w:uiPriority w:val="9"/>
    <w:qFormat/>
    <w:rPr>
      <w:rFonts w:ascii="Arial" w:eastAsia="Arial" w:hAnsi="Arial" w:cs="Arial"/>
      <w:i/>
      <w:iCs/>
      <w:color w:val="272727" w:themeColor="text1" w:themeTint="D8"/>
    </w:rPr>
  </w:style>
  <w:style w:type="character" w:customStyle="1" w:styleId="TitelZchn">
    <w:name w:val="Titel Zchn"/>
    <w:basedOn w:val="Absatz-Standardschriftart"/>
    <w:link w:val="Titel"/>
    <w:uiPriority w:val="10"/>
    <w:qFormat/>
    <w:rPr>
      <w:rFonts w:ascii="Arial" w:eastAsia="Arial" w:hAnsi="Arial" w:cs="Arial"/>
      <w:spacing w:val="-10"/>
      <w:sz w:val="56"/>
      <w:szCs w:val="56"/>
    </w:rPr>
  </w:style>
  <w:style w:type="character" w:customStyle="1" w:styleId="UntertitelZchn">
    <w:name w:val="Untertitel Zchn"/>
    <w:basedOn w:val="Absatz-Standardschriftart"/>
    <w:link w:val="Untertitel"/>
    <w:uiPriority w:val="11"/>
    <w:qFormat/>
    <w:rPr>
      <w:color w:val="595959" w:themeColor="text1" w:themeTint="A6"/>
      <w:spacing w:val="15"/>
      <w:sz w:val="28"/>
      <w:szCs w:val="28"/>
    </w:rPr>
  </w:style>
  <w:style w:type="character" w:customStyle="1" w:styleId="ZitatZchn">
    <w:name w:val="Zitat Zchn"/>
    <w:basedOn w:val="Absatz-Standardschriftart"/>
    <w:link w:val="Zitat"/>
    <w:uiPriority w:val="29"/>
    <w:qFormat/>
    <w:rPr>
      <w:i/>
      <w:iCs/>
      <w:color w:val="404040" w:themeColor="text1" w:themeTint="BF"/>
    </w:rPr>
  </w:style>
  <w:style w:type="character" w:customStyle="1" w:styleId="IntenseQuoteChar">
    <w:name w:val="Intense Quote Char"/>
    <w:basedOn w:val="Absatz-Standardschriftart"/>
    <w:uiPriority w:val="30"/>
    <w:qFormat/>
    <w:rPr>
      <w:i/>
      <w:iCs/>
      <w:color w:val="AEAAAA" w:themeColor="accent1" w:themeShade="BF"/>
    </w:rPr>
  </w:style>
  <w:style w:type="character" w:styleId="SchwacheHervorhebung">
    <w:name w:val="Subtle Emphasis"/>
    <w:basedOn w:val="Absatz-Standardschriftart"/>
    <w:uiPriority w:val="19"/>
    <w:qFormat/>
    <w:rPr>
      <w:i/>
      <w:iCs/>
      <w:color w:val="404040" w:themeColor="text1" w:themeTint="BF"/>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qFormat/>
  </w:style>
  <w:style w:type="character" w:customStyle="1" w:styleId="FooterChar">
    <w:name w:val="Footer Char"/>
    <w:basedOn w:val="Absatz-Standardschriftart"/>
    <w:uiPriority w:val="99"/>
    <w:qFormat/>
  </w:style>
  <w:style w:type="character" w:customStyle="1" w:styleId="FunotentextZchn">
    <w:name w:val="Fußnotentext Zchn"/>
    <w:basedOn w:val="Absatz-Standardschriftart"/>
    <w:link w:val="Funotentext"/>
    <w:uiPriority w:val="99"/>
    <w:semiHidden/>
    <w:qFormat/>
    <w:rPr>
      <w:sz w:val="20"/>
      <w:szCs w:val="20"/>
    </w:rPr>
  </w:style>
  <w:style w:type="character" w:styleId="Funotenzeichen">
    <w:name w:val="footnote reference"/>
    <w:rPr>
      <w:vertAlign w:val="superscript"/>
    </w:rPr>
  </w:style>
  <w:style w:type="character" w:customStyle="1" w:styleId="Funotenzeichenuser">
    <w:name w:val="Fußnotenzeichen (user)"/>
    <w:qFormat/>
    <w:rPr>
      <w:vertAlign w:val="superscript"/>
    </w:rPr>
  </w:style>
  <w:style w:type="character" w:customStyle="1" w:styleId="EndnotentextZchn">
    <w:name w:val="Endnotentext Zchn"/>
    <w:basedOn w:val="Absatz-Standardschriftart"/>
    <w:link w:val="Endnotentext"/>
    <w:uiPriority w:val="99"/>
    <w:semiHidden/>
    <w:qFormat/>
    <w:rPr>
      <w:sz w:val="20"/>
      <w:szCs w:val="20"/>
    </w:rPr>
  </w:style>
  <w:style w:type="character" w:styleId="Endnotenzeichen">
    <w:name w:val="endnote reference"/>
    <w:rPr>
      <w:vertAlign w:val="superscript"/>
    </w:rPr>
  </w:style>
  <w:style w:type="character" w:customStyle="1" w:styleId="Endnotenzeichenuser">
    <w:name w:val="Endnotenzeichen (user)"/>
    <w:qFormat/>
    <w:rPr>
      <w:vertAlign w:val="superscript"/>
    </w:rPr>
  </w:style>
  <w:style w:type="character" w:styleId="BesuchterLink">
    <w:name w:val="FollowedHyperlink"/>
    <w:basedOn w:val="Absatz-Standardschriftart"/>
    <w:uiPriority w:val="99"/>
    <w:semiHidden/>
    <w:unhideWhenUsed/>
    <w:rPr>
      <w:color w:val="000000" w:themeColor="followedHyperlink"/>
      <w:u w:val="single"/>
    </w:rPr>
  </w:style>
  <w:style w:type="character" w:customStyle="1" w:styleId="AufzhlungZchn">
    <w:name w:val="Aufzählung Zchn"/>
    <w:basedOn w:val="Absatz-Standardschriftart"/>
    <w:link w:val="Liste1"/>
    <w:qFormat/>
    <w:rPr>
      <w:rFonts w:ascii="Arial" w:eastAsia="Times New Roman" w:hAnsi="Arial" w:cs="Arial"/>
      <w:szCs w:val="20"/>
      <w:lang w:val="en-US"/>
    </w:rPr>
  </w:style>
  <w:style w:type="character" w:customStyle="1" w:styleId="BeschriftungZchn">
    <w:name w:val="Beschriftung Zchn"/>
    <w:link w:val="Beschriftung"/>
    <w:uiPriority w:val="99"/>
    <w:qFormat/>
    <w:rPr>
      <w:rFonts w:ascii="Calibri" w:eastAsia="Times New Roman" w:hAnsi="Calibri" w:cs="Times New Roman"/>
      <w:bCs/>
      <w:szCs w:val="20"/>
      <w:lang w:eastAsia="nl-NL"/>
    </w:rPr>
  </w:style>
  <w:style w:type="character" w:customStyle="1" w:styleId="berschrift1Zchn">
    <w:name w:val="Überschrift 1 Zchn"/>
    <w:basedOn w:val="Absatz-Standardschriftart"/>
    <w:link w:val="berschrift1"/>
    <w:qFormat/>
    <w:rPr>
      <w:rFonts w:ascii="Calibri" w:eastAsia="Times New Roman" w:hAnsi="Calibri" w:cs="Times New Roman"/>
      <w:b/>
      <w:sz w:val="28"/>
      <w:szCs w:val="26"/>
    </w:rPr>
  </w:style>
  <w:style w:type="character" w:customStyle="1" w:styleId="TextkrperZchn">
    <w:name w:val="Textkörper Zchn"/>
    <w:basedOn w:val="Absatz-Standardschriftart"/>
    <w:link w:val="Textkrper"/>
    <w:uiPriority w:val="99"/>
    <w:semiHidden/>
    <w:qFormat/>
    <w:rPr>
      <w:rFonts w:ascii="Calibri" w:eastAsia="Times New Roman" w:hAnsi="Calibri" w:cs="Times New Roman"/>
      <w:szCs w:val="20"/>
    </w:rPr>
  </w:style>
  <w:style w:type="character" w:customStyle="1" w:styleId="berschrift2Zchn">
    <w:name w:val="Überschrift 2 Zchn"/>
    <w:basedOn w:val="berschrift1Zchn"/>
    <w:link w:val="berschrift2"/>
    <w:qFormat/>
    <w:rPr>
      <w:rFonts w:ascii="Calibri" w:eastAsia="Times New Roman" w:hAnsi="Calibri" w:cs="Times New Roman"/>
      <w:b/>
      <w:sz w:val="24"/>
      <w:szCs w:val="26"/>
    </w:rPr>
  </w:style>
  <w:style w:type="character" w:styleId="Fett">
    <w:name w:val="Strong"/>
    <w:basedOn w:val="Absatz-Standardschriftart"/>
    <w:uiPriority w:val="22"/>
    <w:qFormat/>
    <w:rPr>
      <w:b/>
      <w:bCs/>
    </w:rPr>
  </w:style>
  <w:style w:type="character" w:styleId="Hervorhebung">
    <w:name w:val="Emphasis"/>
    <w:basedOn w:val="Absatz-Standardschriftart"/>
    <w:uiPriority w:val="20"/>
    <w:qFormat/>
    <w:rPr>
      <w:i/>
      <w:iCs/>
    </w:rPr>
  </w:style>
  <w:style w:type="character" w:customStyle="1" w:styleId="berschrift3Zchn">
    <w:name w:val="Überschrift 3 Zchn"/>
    <w:basedOn w:val="Absatz-Standardschriftart"/>
    <w:link w:val="berschrift3"/>
    <w:qFormat/>
    <w:rPr>
      <w:rFonts w:ascii="Calibri" w:eastAsia="Times New Roman" w:hAnsi="Calibri" w:cs="Times New Roman"/>
      <w:b/>
      <w:szCs w:val="26"/>
    </w:rPr>
  </w:style>
  <w:style w:type="character" w:customStyle="1" w:styleId="berschrift4Zchn">
    <w:name w:val="Überschrift 4 Zchn"/>
    <w:basedOn w:val="Absatz-Standardschriftart"/>
    <w:link w:val="berschrift4"/>
    <w:qFormat/>
    <w:rPr>
      <w:rFonts w:ascii="Calibri" w:eastAsia="Times New Roman" w:hAnsi="Calibri" w:cs="Times New Roman"/>
      <w:b/>
      <w:szCs w:val="26"/>
    </w:rPr>
  </w:style>
  <w:style w:type="character" w:customStyle="1" w:styleId="FuzeileZchn">
    <w:name w:val="Fußzeile Zchn"/>
    <w:basedOn w:val="Absatz-Standardschriftart"/>
    <w:link w:val="Fuzeile"/>
    <w:uiPriority w:val="99"/>
    <w:qFormat/>
    <w:rPr>
      <w:rFonts w:ascii="Calibri" w:eastAsia="Times New Roman" w:hAnsi="Calibri" w:cs="Times New Roman"/>
      <w:b/>
      <w:sz w:val="12"/>
      <w:szCs w:val="12"/>
    </w:rPr>
  </w:style>
  <w:style w:type="character" w:customStyle="1" w:styleId="berschrift5Zchn">
    <w:name w:val="Überschrift 5 Zchn"/>
    <w:basedOn w:val="Absatz-Standardschriftart"/>
    <w:link w:val="berschrift5"/>
    <w:qFormat/>
    <w:rPr>
      <w:rFonts w:ascii="Calibri" w:eastAsia="Times New Roman" w:hAnsi="Calibri" w:cs="Times New Roman"/>
      <w:b/>
      <w:sz w:val="18"/>
      <w:szCs w:val="26"/>
    </w:rPr>
  </w:style>
  <w:style w:type="character" w:customStyle="1" w:styleId="berschrift6Zchn">
    <w:name w:val="Überschrift 6 Zchn"/>
    <w:basedOn w:val="Absatz-Standardschriftart"/>
    <w:link w:val="berschrift6"/>
    <w:qFormat/>
    <w:rPr>
      <w:rFonts w:ascii="Calibri" w:eastAsia="Times New Roman" w:hAnsi="Calibri" w:cs="Times New Roman"/>
      <w:b/>
      <w:szCs w:val="26"/>
    </w:rPr>
  </w:style>
  <w:style w:type="character" w:customStyle="1" w:styleId="berschrift7Zchn">
    <w:name w:val="Überschrift 7 Zchn"/>
    <w:basedOn w:val="Absatz-Standardschriftart"/>
    <w:link w:val="berschrift7"/>
    <w:uiPriority w:val="9"/>
    <w:semiHidden/>
    <w:qFormat/>
    <w:rPr>
      <w:rFonts w:asciiTheme="majorHAnsi" w:eastAsiaTheme="majorEastAsia" w:hAnsiTheme="majorHAnsi" w:cstheme="majorBidi"/>
      <w:i/>
      <w:iCs/>
      <w:color w:val="747070" w:themeColor="accent1" w:themeShade="7F"/>
    </w:rPr>
  </w:style>
  <w:style w:type="character" w:customStyle="1" w:styleId="berschrift8Zchn">
    <w:name w:val="Überschrift 8 Zchn"/>
    <w:basedOn w:val="Absatz-Standardschriftart"/>
    <w:link w:val="berschrift8"/>
    <w:uiPriority w:val="9"/>
    <w:semiHidden/>
    <w:qFormat/>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qFormat/>
    <w:rPr>
      <w:rFonts w:asciiTheme="majorHAnsi" w:eastAsiaTheme="majorEastAsia" w:hAnsiTheme="majorHAnsi" w:cstheme="majorBidi"/>
      <w:i/>
      <w:iCs/>
      <w:color w:val="272727" w:themeColor="text1" w:themeTint="D8"/>
      <w:sz w:val="21"/>
      <w:szCs w:val="21"/>
    </w:rPr>
  </w:style>
  <w:style w:type="character" w:styleId="IntensiveHervorhebung">
    <w:name w:val="Intense Emphasis"/>
    <w:basedOn w:val="Absatz-Standardschriftart"/>
    <w:uiPriority w:val="21"/>
    <w:qFormat/>
    <w:rPr>
      <w:i/>
      <w:iCs/>
      <w:color w:val="757070" w:themeColor="accent4"/>
    </w:rPr>
  </w:style>
  <w:style w:type="character" w:customStyle="1" w:styleId="KopfzeileZchn">
    <w:name w:val="Kopfzeile Zchn"/>
    <w:basedOn w:val="Absatz-Standardschriftart"/>
    <w:link w:val="Kopfzeile"/>
    <w:qFormat/>
    <w:rPr>
      <w:rFonts w:ascii="Calibri" w:eastAsia="Times New Roman" w:hAnsi="Calibri" w:cs="Times New Roman"/>
      <w:szCs w:val="20"/>
    </w:rPr>
  </w:style>
  <w:style w:type="character" w:customStyle="1" w:styleId="IntensivesZitatZchn">
    <w:name w:val="Intensives Zitat Zchn"/>
    <w:basedOn w:val="Absatz-Standardschriftart"/>
    <w:link w:val="IntensivesZitat"/>
    <w:uiPriority w:val="30"/>
    <w:qFormat/>
    <w:rPr>
      <w:rFonts w:ascii="Calibri" w:eastAsia="Times New Roman" w:hAnsi="Calibri" w:cs="Times New Roman"/>
      <w:i/>
      <w:iCs/>
      <w:color w:val="757070" w:themeColor="text2"/>
      <w:szCs w:val="20"/>
    </w:rPr>
  </w:style>
  <w:style w:type="character" w:styleId="IntensiverVerweis">
    <w:name w:val="Intense Reference"/>
    <w:basedOn w:val="Absatz-Standardschriftart"/>
    <w:uiPriority w:val="32"/>
    <w:qFormat/>
    <w:rPr>
      <w:b/>
      <w:bCs/>
      <w:smallCaps/>
      <w:color w:val="3A3838" w:themeColor="accent5"/>
      <w:spacing w:val="5"/>
    </w:rPr>
  </w:style>
  <w:style w:type="character" w:styleId="Kommentarzeichen">
    <w:name w:val="annotation reference"/>
    <w:basedOn w:val="Absatz-Standardschriftart"/>
    <w:unhideWhenUsed/>
    <w:qFormat/>
    <w:rPr>
      <w:sz w:val="16"/>
      <w:szCs w:val="16"/>
    </w:rPr>
  </w:style>
  <w:style w:type="character" w:customStyle="1" w:styleId="KommentartextZchn">
    <w:name w:val="Kommentartext Zchn"/>
    <w:basedOn w:val="Absatz-Standardschriftart"/>
    <w:link w:val="Kommentartext"/>
    <w:qFormat/>
    <w:rPr>
      <w:rFonts w:ascii="Calibri" w:eastAsia="Times New Roman" w:hAnsi="Calibri" w:cs="Times New Roman"/>
      <w:sz w:val="20"/>
      <w:szCs w:val="20"/>
    </w:rPr>
  </w:style>
  <w:style w:type="character" w:customStyle="1" w:styleId="KommentarthemaZchn">
    <w:name w:val="Kommentarthema Zchn"/>
    <w:basedOn w:val="KommentartextZchn"/>
    <w:link w:val="Kommentarthema"/>
    <w:uiPriority w:val="99"/>
    <w:semiHidden/>
    <w:qFormat/>
    <w:rPr>
      <w:rFonts w:ascii="Calibri" w:eastAsia="Times New Roman" w:hAnsi="Calibri" w:cs="Times New Roman"/>
      <w:b/>
      <w:bCs/>
      <w:sz w:val="20"/>
      <w:szCs w:val="20"/>
    </w:rPr>
  </w:style>
  <w:style w:type="character" w:customStyle="1" w:styleId="SprechblasentextZchn">
    <w:name w:val="Sprechblasentext Zchn"/>
    <w:basedOn w:val="Absatz-Standardschriftart"/>
    <w:link w:val="Sprechblasentext"/>
    <w:uiPriority w:val="99"/>
    <w:semiHidden/>
    <w:qFormat/>
    <w:rPr>
      <w:rFonts w:ascii="Segoe UI" w:eastAsia="Times New Roman" w:hAnsi="Segoe UI" w:cs="Segoe UI"/>
      <w:sz w:val="18"/>
      <w:szCs w:val="18"/>
    </w:rPr>
  </w:style>
  <w:style w:type="character" w:styleId="Hyperlink">
    <w:name w:val="Hyperlink"/>
    <w:basedOn w:val="Absatz-Standardschriftart"/>
    <w:uiPriority w:val="99"/>
    <w:unhideWhenUsed/>
    <w:rPr>
      <w:color w:val="000000" w:themeColor="hyperlink"/>
      <w:u w:val="single"/>
    </w:rPr>
  </w:style>
  <w:style w:type="character" w:styleId="NichtaufgelsteErwhnung">
    <w:name w:val="Unresolved Mention"/>
    <w:basedOn w:val="Absatz-Standardschriftart"/>
    <w:uiPriority w:val="99"/>
    <w:semiHidden/>
    <w:unhideWhenUsed/>
    <w:qFormat/>
    <w:rPr>
      <w:color w:val="605E5C"/>
      <w:shd w:val="clear" w:color="auto" w:fill="E1DFDD"/>
    </w:rPr>
  </w:style>
  <w:style w:type="character" w:customStyle="1" w:styleId="MazarsberschriftEbene1Zchn">
    <w:name w:val="Mazars Überschrift Ebene 1 Zchn"/>
    <w:basedOn w:val="Absatz-Standardschriftart"/>
    <w:link w:val="MazarsberschriftEbene1"/>
    <w:qFormat/>
    <w:rsid w:val="00303C80"/>
    <w:rPr>
      <w:rFonts w:ascii="Arial" w:eastAsia="Arial" w:hAnsi="Arial" w:cs="Times New Roman"/>
      <w:b/>
    </w:rPr>
  </w:style>
  <w:style w:type="character" w:customStyle="1" w:styleId="MazarsTextebene1Zchn">
    <w:name w:val="Mazars Textebene +1 Zchn"/>
    <w:basedOn w:val="Absatz-Standardschriftart"/>
    <w:link w:val="MazarsTextebene1"/>
    <w:qFormat/>
    <w:rsid w:val="00303C80"/>
    <w:rPr>
      <w:rFonts w:ascii="Arial" w:eastAsia="Arial" w:hAnsi="Arial" w:cs="Times New Roman"/>
    </w:rPr>
  </w:style>
  <w:style w:type="character" w:customStyle="1" w:styleId="Verzeichnissprung">
    <w:name w:val="Verzeichnissprung"/>
    <w:qFormat/>
  </w:style>
  <w:style w:type="character" w:customStyle="1" w:styleId="Verzeichnissprunguser">
    <w:name w:val="Verzeichnissprung (user)"/>
    <w:qFormat/>
  </w:style>
  <w:style w:type="character" w:styleId="Zeilennummer">
    <w:name w:val="line numbe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link w:val="TextkrperZchn"/>
    <w:uiPriority w:val="99"/>
    <w:semiHidden/>
    <w:unhideWhenUsed/>
    <w:pPr>
      <w:spacing w:after="120"/>
    </w:pPr>
  </w:style>
  <w:style w:type="paragraph" w:customStyle="1" w:styleId="Liste1">
    <w:name w:val="Liste1"/>
    <w:basedOn w:val="Listenabsatz"/>
    <w:link w:val="AufzhlungZchn"/>
    <w:qFormat/>
    <w:pPr>
      <w:numPr>
        <w:numId w:val="1"/>
      </w:numPr>
      <w:tabs>
        <w:tab w:val="left" w:pos="360"/>
      </w:tabs>
      <w:spacing w:before="0" w:after="200"/>
      <w:contextualSpacing w:val="0"/>
    </w:pPr>
    <w:rPr>
      <w:rFonts w:ascii="Arial" w:hAnsi="Arial" w:cs="Arial"/>
      <w:lang w:val="en-US"/>
    </w:rPr>
  </w:style>
  <w:style w:type="paragraph" w:styleId="Beschriftung">
    <w:name w:val="caption"/>
    <w:basedOn w:val="Standard"/>
    <w:next w:val="Textkrper"/>
    <w:link w:val="BeschriftungZchn"/>
    <w:uiPriority w:val="99"/>
    <w:qFormat/>
    <w:pPr>
      <w:spacing w:before="120" w:after="120"/>
      <w:jc w:val="center"/>
    </w:pPr>
    <w:rPr>
      <w:bCs/>
      <w:lang w:eastAsia="nl-NL"/>
    </w:rPr>
  </w:style>
  <w:style w:type="paragraph" w:customStyle="1" w:styleId="Verzeichnis">
    <w:name w:val="Verzeichnis"/>
    <w:basedOn w:val="Standard"/>
    <w:qFormat/>
    <w:pPr>
      <w:suppressLineNumbers/>
    </w:pPr>
    <w:rPr>
      <w:rFonts w:cs="Noto Sans"/>
    </w:rPr>
  </w:style>
  <w:style w:type="paragraph" w:customStyle="1" w:styleId="berschriftuser">
    <w:name w:val="Überschrift (user)"/>
    <w:basedOn w:val="Standard"/>
    <w:next w:val="Textkrper"/>
    <w:qFormat/>
    <w:pPr>
      <w:keepNext/>
      <w:spacing w:before="240" w:after="120"/>
    </w:pPr>
    <w:rPr>
      <w:rFonts w:ascii="Carlito" w:eastAsia="Noto Sans SC Regular" w:hAnsi="Carlito" w:cs="Noto Sans"/>
      <w:sz w:val="28"/>
      <w:szCs w:val="28"/>
    </w:rPr>
  </w:style>
  <w:style w:type="paragraph" w:customStyle="1" w:styleId="Verzeichnisuser">
    <w:name w:val="Verzeichnis (user)"/>
    <w:basedOn w:val="Standard"/>
    <w:qFormat/>
    <w:pPr>
      <w:suppressLineNumbers/>
    </w:pPr>
    <w:rPr>
      <w:rFonts w:cs="Noto Sans"/>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paragraph" w:styleId="Untertitel">
    <w:name w:val="Subtitle"/>
    <w:basedOn w:val="Standard"/>
    <w:next w:val="Standard"/>
    <w:link w:val="UntertitelZchn"/>
    <w:uiPriority w:val="11"/>
    <w:qFormat/>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paragraph" w:styleId="KeinLeerraum">
    <w:name w:val="No Spacing"/>
    <w:basedOn w:val="Standard"/>
    <w:uiPriority w:val="1"/>
    <w:qFormat/>
    <w:pPr>
      <w:spacing w:after="0"/>
    </w:pPr>
  </w:style>
  <w:style w:type="paragraph" w:styleId="Funotentext">
    <w:name w:val="footnote text"/>
    <w:basedOn w:val="Standard"/>
    <w:link w:val="FunotentextZchn"/>
    <w:uiPriority w:val="99"/>
    <w:semiHidden/>
    <w:unhideWhenUsed/>
    <w:pPr>
      <w:spacing w:after="0"/>
    </w:pPr>
    <w:rPr>
      <w:sz w:val="20"/>
    </w:rPr>
  </w:style>
  <w:style w:type="paragraph" w:styleId="Endnotentext">
    <w:name w:val="endnote text"/>
    <w:basedOn w:val="Standard"/>
    <w:link w:val="EndnotentextZchn"/>
    <w:uiPriority w:val="99"/>
    <w:semiHidden/>
    <w:unhideWhenUsed/>
    <w:pPr>
      <w:spacing w:after="0"/>
    </w:pPr>
    <w:rPr>
      <w:sz w:val="20"/>
    </w:r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Abbildungsverzeichnis">
    <w:name w:val="table of figures"/>
    <w:basedOn w:val="Standard"/>
    <w:next w:val="Standard"/>
    <w:uiPriority w:val="99"/>
    <w:unhideWhenUsed/>
    <w:pPr>
      <w:spacing w:after="0"/>
    </w:pPr>
  </w:style>
  <w:style w:type="paragraph" w:styleId="Listenabsatz">
    <w:name w:val="List Paragraph"/>
    <w:basedOn w:val="Standard"/>
    <w:uiPriority w:val="34"/>
    <w:qFormat/>
    <w:pPr>
      <w:ind w:left="720"/>
      <w:contextualSpacing/>
    </w:pPr>
  </w:style>
  <w:style w:type="paragraph" w:customStyle="1" w:styleId="AufzhlungEbene1">
    <w:name w:val="Aufzählung Ebene 1"/>
    <w:basedOn w:val="Standard"/>
    <w:uiPriority w:val="99"/>
    <w:qFormat/>
    <w:pPr>
      <w:numPr>
        <w:numId w:val="2"/>
      </w:numPr>
      <w:spacing w:before="120" w:after="80" w:line="276" w:lineRule="auto"/>
    </w:pPr>
    <w:rPr>
      <w:rFonts w:eastAsia="Calibri"/>
      <w:szCs w:val="22"/>
    </w:rPr>
  </w:style>
  <w:style w:type="paragraph" w:customStyle="1" w:styleId="Hinweis">
    <w:name w:val="Hinweis"/>
    <w:basedOn w:val="Standard"/>
    <w:qFormat/>
    <w:pPr>
      <w:spacing w:before="120" w:after="0" w:line="180" w:lineRule="atLeast"/>
    </w:pPr>
    <w:rPr>
      <w:rFonts w:ascii="Arial" w:hAnsi="Arial" w:cs="Arial"/>
      <w:color w:val="FF0000"/>
      <w:sz w:val="16"/>
      <w:szCs w:val="16"/>
    </w:rPr>
  </w:style>
  <w:style w:type="paragraph" w:customStyle="1" w:styleId="Kopf-Fuzeile">
    <w:name w:val="Kopf-/Fußzeile"/>
    <w:basedOn w:val="Standard"/>
    <w:qFormat/>
  </w:style>
  <w:style w:type="paragraph" w:customStyle="1" w:styleId="Kopf-Fuzeileuser">
    <w:name w:val="Kopf-/Fußzeile (user)"/>
    <w:basedOn w:val="Standard"/>
    <w:qFormat/>
  </w:style>
  <w:style w:type="paragraph" w:styleId="Fuzeile">
    <w:name w:val="footer"/>
    <w:basedOn w:val="Standard"/>
    <w:link w:val="FuzeileZchn"/>
    <w:uiPriority w:val="99"/>
    <w:rPr>
      <w:b/>
      <w:sz w:val="12"/>
      <w:szCs w:val="12"/>
    </w:rPr>
  </w:style>
  <w:style w:type="paragraph" w:styleId="Kopfzeile">
    <w:name w:val="header"/>
    <w:basedOn w:val="Standard"/>
    <w:link w:val="KopfzeileZchn"/>
    <w:unhideWhenUsed/>
    <w:pPr>
      <w:tabs>
        <w:tab w:val="center" w:pos="4536"/>
        <w:tab w:val="right" w:pos="9072"/>
      </w:tabs>
      <w:spacing w:before="0" w:after="0"/>
    </w:pPr>
  </w:style>
  <w:style w:type="paragraph" w:styleId="IntensivesZitat">
    <w:name w:val="Intense Quote"/>
    <w:basedOn w:val="Standard"/>
    <w:next w:val="Standard"/>
    <w:link w:val="IntensivesZitatZchn"/>
    <w:uiPriority w:val="30"/>
    <w:qFormat/>
    <w:pPr>
      <w:pBdr>
        <w:top w:val="single" w:sz="4" w:space="10" w:color="E7E6E6" w:themeColor="accent1"/>
        <w:bottom w:val="single" w:sz="4" w:space="10" w:color="E7E6E6" w:themeColor="accent1"/>
      </w:pBdr>
      <w:spacing w:before="360" w:after="360"/>
      <w:ind w:left="864" w:right="864"/>
      <w:jc w:val="center"/>
    </w:pPr>
    <w:rPr>
      <w:i/>
      <w:iCs/>
      <w:color w:val="757070" w:themeColor="text2"/>
    </w:rPr>
  </w:style>
  <w:style w:type="paragraph" w:styleId="Kommentartext">
    <w:name w:val="annotation text"/>
    <w:basedOn w:val="Standard"/>
    <w:link w:val="KommentartextZchn"/>
    <w:unhideWhenUsed/>
    <w:rPr>
      <w:sz w:val="20"/>
    </w:rPr>
  </w:style>
  <w:style w:type="paragraph" w:styleId="Kommentarthema">
    <w:name w:val="annotation subject"/>
    <w:basedOn w:val="Kommentartext"/>
    <w:next w:val="Kommentartext"/>
    <w:link w:val="KommentarthemaZchn"/>
    <w:uiPriority w:val="99"/>
    <w:semiHidden/>
    <w:unhideWhenUsed/>
    <w:qFormat/>
    <w:rPr>
      <w:b/>
      <w:bCs/>
    </w:rPr>
  </w:style>
  <w:style w:type="paragraph" w:styleId="Sprechblasentext">
    <w:name w:val="Balloon Text"/>
    <w:basedOn w:val="Standard"/>
    <w:link w:val="SprechblasentextZchn"/>
    <w:uiPriority w:val="99"/>
    <w:semiHidden/>
    <w:unhideWhenUsed/>
    <w:qFormat/>
    <w:pPr>
      <w:spacing w:before="0" w:after="0"/>
    </w:pPr>
    <w:rPr>
      <w:rFonts w:ascii="Segoe UI" w:hAnsi="Segoe UI" w:cs="Segoe UI"/>
      <w:sz w:val="18"/>
      <w:szCs w:val="18"/>
    </w:rPr>
  </w:style>
  <w:style w:type="paragraph" w:styleId="Aufzhlungszeichen">
    <w:name w:val="List Bullet"/>
    <w:basedOn w:val="Standard"/>
    <w:uiPriority w:val="4"/>
    <w:qFormat/>
    <w:pPr>
      <w:numPr>
        <w:numId w:val="4"/>
      </w:numPr>
      <w:spacing w:before="0" w:after="140" w:line="264" w:lineRule="auto"/>
      <w:contextualSpacing/>
    </w:pPr>
    <w:rPr>
      <w:rFonts w:eastAsiaTheme="minorHAnsi" w:cstheme="minorBidi"/>
      <w:szCs w:val="22"/>
    </w:rPr>
  </w:style>
  <w:style w:type="paragraph" w:styleId="Aufzhlungszeichen2">
    <w:name w:val="List Bullet 2"/>
    <w:basedOn w:val="Standard"/>
    <w:uiPriority w:val="4"/>
    <w:qFormat/>
    <w:pPr>
      <w:numPr>
        <w:ilvl w:val="1"/>
        <w:numId w:val="4"/>
      </w:numPr>
      <w:spacing w:before="0" w:after="140" w:line="264" w:lineRule="auto"/>
      <w:contextualSpacing/>
    </w:pPr>
    <w:rPr>
      <w:rFonts w:eastAsiaTheme="minorHAnsi" w:cstheme="minorBidi"/>
      <w:szCs w:val="22"/>
    </w:rPr>
  </w:style>
  <w:style w:type="paragraph" w:styleId="Aufzhlungszeichen3">
    <w:name w:val="List Bullet 3"/>
    <w:basedOn w:val="Standard"/>
    <w:uiPriority w:val="4"/>
    <w:qFormat/>
    <w:pPr>
      <w:numPr>
        <w:ilvl w:val="2"/>
        <w:numId w:val="4"/>
      </w:numPr>
      <w:spacing w:before="0" w:after="140" w:line="264" w:lineRule="auto"/>
      <w:contextualSpacing/>
    </w:pPr>
    <w:rPr>
      <w:rFonts w:eastAsiaTheme="minorHAnsi" w:cstheme="minorBidi"/>
      <w:szCs w:val="22"/>
    </w:rPr>
  </w:style>
  <w:style w:type="paragraph" w:styleId="Aufzhlungszeichen4">
    <w:name w:val="List Bullet 4"/>
    <w:basedOn w:val="Standard"/>
    <w:uiPriority w:val="4"/>
    <w:qFormat/>
    <w:pPr>
      <w:numPr>
        <w:ilvl w:val="3"/>
        <w:numId w:val="4"/>
      </w:numPr>
      <w:spacing w:before="0" w:after="140" w:line="264" w:lineRule="auto"/>
      <w:contextualSpacing/>
    </w:pPr>
    <w:rPr>
      <w:rFonts w:eastAsiaTheme="minorHAnsi" w:cstheme="minorBidi"/>
      <w:szCs w:val="22"/>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pPr>
      <w:keepLines/>
      <w:numPr>
        <w:numId w:val="0"/>
      </w:numPr>
      <w:spacing w:before="240" w:after="0" w:line="259" w:lineRule="auto"/>
      <w:outlineLvl w:val="9"/>
    </w:pPr>
    <w:rPr>
      <w:rFonts w:asciiTheme="majorHAnsi" w:eastAsiaTheme="majorEastAsia" w:hAnsiTheme="majorHAnsi" w:cstheme="majorBidi"/>
      <w:b w:val="0"/>
      <w:color w:val="AEAAAA" w:themeColor="accent1" w:themeShade="BF"/>
      <w:sz w:val="32"/>
      <w:szCs w:val="32"/>
      <w:lang w:eastAsia="de-D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customStyle="1" w:styleId="MazarsberschriftEbene1">
    <w:name w:val="Mazars Überschrift Ebene 1"/>
    <w:basedOn w:val="Standard"/>
    <w:next w:val="Standard"/>
    <w:link w:val="MazarsberschriftEbene1Zchn"/>
    <w:qFormat/>
    <w:rsid w:val="00303C80"/>
    <w:pPr>
      <w:keepNext/>
      <w:spacing w:before="240" w:after="240" w:line="276" w:lineRule="auto"/>
      <w:outlineLvl w:val="0"/>
    </w:pPr>
    <w:rPr>
      <w:rFonts w:ascii="Arial" w:eastAsia="Arial" w:hAnsi="Arial"/>
      <w:b/>
      <w:szCs w:val="22"/>
    </w:rPr>
  </w:style>
  <w:style w:type="paragraph" w:customStyle="1" w:styleId="MazarsTextebene1">
    <w:name w:val="Mazars Textebene +1"/>
    <w:basedOn w:val="Standard"/>
    <w:link w:val="MazarsTextebene1Zchn"/>
    <w:qFormat/>
    <w:rsid w:val="00303C80"/>
    <w:pPr>
      <w:spacing w:before="0" w:after="240" w:line="276" w:lineRule="auto"/>
      <w:ind w:left="567"/>
    </w:pPr>
    <w:rPr>
      <w:rFonts w:ascii="Arial" w:eastAsia="Arial" w:hAnsi="Arial"/>
      <w:szCs w:val="22"/>
    </w:rPr>
  </w:style>
  <w:style w:type="paragraph" w:customStyle="1" w:styleId="Rahmeninhaltuser">
    <w:name w:val="Rahmeninhalt (user)"/>
    <w:basedOn w:val="Standard"/>
    <w:qFormat/>
    <w:rsid w:val="00FA4934"/>
    <w:pPr>
      <w:spacing w:before="0" w:after="0"/>
      <w:jc w:val="left"/>
    </w:pPr>
    <w:rPr>
      <w:rFonts w:eastAsiaTheme="minorHAnsi" w:cs="Calibri"/>
      <w:szCs w:val="22"/>
      <w:lang w:eastAsia="de-DE"/>
    </w:rPr>
  </w:style>
  <w:style w:type="paragraph" w:styleId="StandardWeb">
    <w:name w:val="Normal (Web)"/>
    <w:basedOn w:val="Standard"/>
    <w:uiPriority w:val="99"/>
    <w:unhideWhenUsed/>
    <w:qFormat/>
    <w:rsid w:val="005F49D4"/>
    <w:pPr>
      <w:spacing w:beforeAutospacing="1" w:afterAutospacing="1"/>
      <w:jc w:val="left"/>
    </w:pPr>
    <w:rPr>
      <w:rFonts w:ascii="Times New Roman" w:hAnsi="Times New Roman"/>
      <w:sz w:val="24"/>
      <w:szCs w:val="24"/>
      <w:lang w:eastAsia="de-DE"/>
    </w:rPr>
  </w:style>
  <w:style w:type="paragraph" w:customStyle="1" w:styleId="Default">
    <w:name w:val="Default"/>
    <w:qFormat/>
    <w:rsid w:val="00234562"/>
    <w:rPr>
      <w:rFonts w:ascii="Arial" w:eastAsia="Calibri" w:hAnsi="Arial" w:cs="Arial"/>
      <w:color w:val="000000"/>
      <w:sz w:val="24"/>
      <w:szCs w:val="24"/>
    </w:rPr>
  </w:style>
  <w:style w:type="paragraph" w:customStyle="1" w:styleId="Rahmeninhalt">
    <w:name w:val="Rahmeninhalt"/>
    <w:basedOn w:val="Standard"/>
    <w:qFormat/>
  </w:style>
  <w:style w:type="numbering" w:customStyle="1" w:styleId="PD-Aufzhlung">
    <w:name w:val="PD-Aufzählung"/>
    <w:uiPriority w:val="99"/>
    <w:qFormat/>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F5F4F4" w:themeColor="accent1" w:themeTint="67"/>
        <w:left w:val="single" w:sz="4" w:space="0" w:color="F5F4F4" w:themeColor="accent1" w:themeTint="67"/>
        <w:bottom w:val="single" w:sz="4" w:space="0" w:color="F5F4F4" w:themeColor="accent1" w:themeTint="67"/>
        <w:right w:val="single" w:sz="4" w:space="0" w:color="F5F4F4" w:themeColor="accent1" w:themeTint="67"/>
        <w:insideH w:val="single" w:sz="4" w:space="0" w:color="F5F4F4" w:themeColor="accent1" w:themeTint="67"/>
        <w:insideV w:val="single" w:sz="4" w:space="0" w:color="F5F4F4" w:themeColor="accent1" w:themeTint="67"/>
      </w:tblBorders>
    </w:tblPr>
    <w:tblStylePr w:type="firstRow">
      <w:rPr>
        <w:b/>
      </w:rPr>
      <w:tblPr/>
      <w:tcPr>
        <w:tcBorders>
          <w:bottom w:val="single" w:sz="12" w:space="0" w:color="E7E6E6"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7E6E6" w:themeColor="accent1"/>
          <w:left w:val="single" w:sz="4" w:space="0" w:color="E7E6E6" w:themeColor="accent1"/>
          <w:bottom w:val="single" w:sz="4" w:space="0" w:color="E7E6E6" w:themeColor="accent1"/>
          <w:right w:val="single" w:sz="4" w:space="0" w:color="E7E6E6" w:themeColor="accent1"/>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DEDDDD" w:themeColor="accent2" w:themeTint="67"/>
        <w:left w:val="single" w:sz="4" w:space="0" w:color="DEDDDD" w:themeColor="accent2" w:themeTint="67"/>
        <w:bottom w:val="single" w:sz="4" w:space="0" w:color="DEDDDD" w:themeColor="accent2" w:themeTint="67"/>
        <w:right w:val="single" w:sz="4" w:space="0" w:color="DEDDDD" w:themeColor="accent2" w:themeTint="67"/>
        <w:insideH w:val="single" w:sz="4" w:space="0" w:color="DEDDDD" w:themeColor="accent2" w:themeTint="67"/>
        <w:insideV w:val="single" w:sz="4" w:space="0" w:color="DEDDDD" w:themeColor="accent2" w:themeTint="67"/>
      </w:tblBorders>
    </w:tblPr>
    <w:tblStylePr w:type="firstRow">
      <w:rPr>
        <w:b/>
      </w:rPr>
      <w:tblPr/>
      <w:tcPr>
        <w:tcBorders>
          <w:bottom w:val="single" w:sz="12" w:space="0" w:color="AEABAB"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EABAB" w:themeColor="accent2"/>
          <w:left w:val="single" w:sz="4" w:space="0" w:color="AEABAB" w:themeColor="accent2"/>
          <w:bottom w:val="single" w:sz="4" w:space="0" w:color="AEABAB" w:themeColor="accent2"/>
          <w:right w:val="single" w:sz="4" w:space="0" w:color="AEABAB" w:themeColor="accent2"/>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C7C4C4" w:themeColor="accent3" w:themeTint="67"/>
        <w:left w:val="single" w:sz="4" w:space="0" w:color="C7C4C4" w:themeColor="accent3" w:themeTint="67"/>
        <w:bottom w:val="single" w:sz="4" w:space="0" w:color="C7C4C4" w:themeColor="accent3" w:themeTint="67"/>
        <w:right w:val="single" w:sz="4" w:space="0" w:color="C7C4C4" w:themeColor="accent3" w:themeTint="67"/>
        <w:insideH w:val="single" w:sz="4" w:space="0" w:color="C7C4C4" w:themeColor="accent3" w:themeTint="67"/>
        <w:insideV w:val="single" w:sz="4" w:space="0" w:color="C7C4C4" w:themeColor="accent3" w:themeTint="67"/>
      </w:tblBorders>
    </w:tblPr>
    <w:tblStylePr w:type="firstRow">
      <w:rPr>
        <w:b/>
      </w:rPr>
      <w:tblPr/>
      <w:tcPr>
        <w:tcBorders>
          <w:bottom w:val="single" w:sz="12" w:space="0" w:color="757070"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57070" w:themeColor="accent3"/>
          <w:left w:val="single" w:sz="4" w:space="0" w:color="757070" w:themeColor="accent3"/>
          <w:bottom w:val="single" w:sz="4" w:space="0" w:color="757070" w:themeColor="accent3"/>
          <w:right w:val="single" w:sz="4" w:space="0" w:color="757070" w:themeColor="accent3"/>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7C4C4" w:themeColor="accent4" w:themeTint="67"/>
        <w:left w:val="single" w:sz="4" w:space="0" w:color="C7C4C4" w:themeColor="accent4" w:themeTint="67"/>
        <w:bottom w:val="single" w:sz="4" w:space="0" w:color="C7C4C4" w:themeColor="accent4" w:themeTint="67"/>
        <w:right w:val="single" w:sz="4" w:space="0" w:color="C7C4C4" w:themeColor="accent4" w:themeTint="67"/>
        <w:insideH w:val="single" w:sz="4" w:space="0" w:color="C7C4C4" w:themeColor="accent4" w:themeTint="67"/>
        <w:insideV w:val="single" w:sz="4" w:space="0" w:color="C7C4C4" w:themeColor="accent4" w:themeTint="67"/>
      </w:tblBorders>
    </w:tblPr>
    <w:tblStylePr w:type="firstRow">
      <w:rPr>
        <w:b/>
      </w:rPr>
      <w:tblPr/>
      <w:tcPr>
        <w:tcBorders>
          <w:bottom w:val="single" w:sz="12" w:space="0" w:color="75707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57070" w:themeColor="accent4"/>
          <w:left w:val="single" w:sz="4" w:space="0" w:color="757070" w:themeColor="accent4"/>
          <w:bottom w:val="single" w:sz="4" w:space="0" w:color="757070" w:themeColor="accent4"/>
          <w:right w:val="single" w:sz="4" w:space="0" w:color="757070" w:themeColor="accent4"/>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0ADAD" w:themeColor="accent5" w:themeTint="67"/>
        <w:left w:val="single" w:sz="4" w:space="0" w:color="B0ADAD" w:themeColor="accent5" w:themeTint="67"/>
        <w:bottom w:val="single" w:sz="4" w:space="0" w:color="B0ADAD" w:themeColor="accent5" w:themeTint="67"/>
        <w:right w:val="single" w:sz="4" w:space="0" w:color="B0ADAD" w:themeColor="accent5" w:themeTint="67"/>
        <w:insideH w:val="single" w:sz="4" w:space="0" w:color="B0ADAD" w:themeColor="accent5" w:themeTint="67"/>
        <w:insideV w:val="single" w:sz="4" w:space="0" w:color="B0ADAD" w:themeColor="accent5" w:themeTint="67"/>
      </w:tblBorders>
    </w:tblPr>
    <w:tblStylePr w:type="firstRow">
      <w:rPr>
        <w:b/>
      </w:rPr>
      <w:tblPr/>
      <w:tcPr>
        <w:tcBorders>
          <w:bottom w:val="single" w:sz="12" w:space="0" w:color="3A3838"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3A3838" w:themeColor="accent5"/>
          <w:left w:val="single" w:sz="4" w:space="0" w:color="3A3838" w:themeColor="accent5"/>
          <w:bottom w:val="single" w:sz="4" w:space="0" w:color="3A3838" w:themeColor="accent5"/>
          <w:right w:val="single" w:sz="4" w:space="0" w:color="3A3838" w:themeColor="accent5"/>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A39E9E" w:themeColor="accent6" w:themeTint="67"/>
        <w:left w:val="single" w:sz="4" w:space="0" w:color="A39E9E" w:themeColor="accent6" w:themeTint="67"/>
        <w:bottom w:val="single" w:sz="4" w:space="0" w:color="A39E9E" w:themeColor="accent6" w:themeTint="67"/>
        <w:right w:val="single" w:sz="4" w:space="0" w:color="A39E9E" w:themeColor="accent6" w:themeTint="67"/>
        <w:insideH w:val="single" w:sz="4" w:space="0" w:color="A39E9E" w:themeColor="accent6" w:themeTint="67"/>
        <w:insideV w:val="single" w:sz="4" w:space="0" w:color="A39E9E" w:themeColor="accent6" w:themeTint="67"/>
      </w:tblBorders>
    </w:tblPr>
    <w:tblStylePr w:type="firstRow">
      <w:rPr>
        <w:b/>
      </w:rPr>
      <w:tblPr/>
      <w:tcPr>
        <w:tcBorders>
          <w:bottom w:val="single" w:sz="12" w:space="0" w:color="17161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171616" w:themeColor="accent6"/>
          <w:left w:val="single" w:sz="4" w:space="0" w:color="171616" w:themeColor="accent6"/>
          <w:bottom w:val="single" w:sz="4" w:space="0" w:color="171616" w:themeColor="accent6"/>
          <w:right w:val="single" w:sz="4" w:space="0" w:color="171616" w:themeColor="accent6"/>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E9E8E8" w:themeColor="accent1" w:themeTint="EA"/>
        <w:insideH w:val="single" w:sz="4" w:space="0" w:color="E9E8E8" w:themeColor="accent1" w:themeTint="EA"/>
        <w:insideV w:val="single" w:sz="4" w:space="0" w:color="E9E8E8" w:themeColor="accent1" w:themeTint="EA"/>
      </w:tblBorders>
    </w:tblPr>
    <w:tblStylePr w:type="firstRow">
      <w:rPr>
        <w:b/>
      </w:rPr>
      <w:tblPr/>
      <w:tcPr>
        <w:tcBorders>
          <w:top w:val="none" w:sz="4" w:space="0" w:color="000000"/>
          <w:left w:val="none" w:sz="4" w:space="0" w:color="000000"/>
          <w:bottom w:val="single" w:sz="12" w:space="0" w:color="E7E6E6" w:themeColor="accent1"/>
          <w:right w:val="none" w:sz="4" w:space="0" w:color="000000"/>
        </w:tcBorders>
        <w:shd w:val="clear" w:color="FFFFFF" w:fill="auto"/>
      </w:tcPr>
    </w:tblStylePr>
    <w:tblStylePr w:type="lastRow">
      <w:rPr>
        <w:b/>
      </w:rPr>
      <w:tblPr/>
      <w:tcPr>
        <w:tcBorders>
          <w:top w:val="single" w:sz="4" w:space="0" w:color="E7E6E6"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AF9F9" w:fill="FAF9F9" w:themeFill="accent1" w:themeFillTint="34"/>
      </w:tcPr>
    </w:tblStylePr>
    <w:tblStylePr w:type="band1Horz">
      <w:rPr>
        <w:sz w:val="22"/>
      </w:rPr>
      <w:tblPr/>
      <w:tcPr>
        <w:shd w:val="clear" w:color="FAF9F9" w:fill="FAF9F9"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CFCDCD" w:themeColor="accent2" w:themeTint="97"/>
        <w:insideH w:val="single" w:sz="4" w:space="0" w:color="CFCDCD" w:themeColor="accent2" w:themeTint="97"/>
        <w:insideV w:val="single" w:sz="4" w:space="0" w:color="CFCDCD" w:themeColor="accent2" w:themeTint="97"/>
      </w:tblBorders>
    </w:tblPr>
    <w:tblStylePr w:type="firstRow">
      <w:rPr>
        <w:b/>
      </w:rPr>
      <w:tblPr/>
      <w:tcPr>
        <w:tcBorders>
          <w:top w:val="none" w:sz="4" w:space="0" w:color="000000"/>
          <w:left w:val="none" w:sz="4" w:space="0" w:color="000000"/>
          <w:bottom w:val="single" w:sz="12" w:space="0" w:color="AEABAB" w:themeColor="accent2"/>
          <w:right w:val="none" w:sz="4" w:space="0" w:color="000000"/>
        </w:tcBorders>
        <w:shd w:val="clear" w:color="FFFFFF" w:fill="auto"/>
      </w:tcPr>
    </w:tblStylePr>
    <w:tblStylePr w:type="lastRow">
      <w:rPr>
        <w:b/>
      </w:rPr>
      <w:tblPr/>
      <w:tcPr>
        <w:tcBorders>
          <w:top w:val="single" w:sz="4" w:space="0" w:color="AEABAB"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FEEEE" w:fill="EFEEEE" w:themeFill="accent2" w:themeFillTint="32"/>
      </w:tcPr>
    </w:tblStylePr>
    <w:tblStylePr w:type="band1Horz">
      <w:rPr>
        <w:sz w:val="22"/>
      </w:rPr>
      <w:tblPr/>
      <w:tcPr>
        <w:shd w:val="clear" w:color="EFEEEE" w:fill="EFEEEE"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757070" w:themeColor="accent3" w:themeTint="FE"/>
        <w:insideH w:val="single" w:sz="4" w:space="0" w:color="757070" w:themeColor="accent3" w:themeTint="FE"/>
        <w:insideV w:val="single" w:sz="4" w:space="0" w:color="757070" w:themeColor="accent3" w:themeTint="FE"/>
      </w:tblBorders>
    </w:tblPr>
    <w:tblStylePr w:type="firstRow">
      <w:rPr>
        <w:b/>
      </w:rPr>
      <w:tblPr/>
      <w:tcPr>
        <w:tcBorders>
          <w:top w:val="none" w:sz="4" w:space="0" w:color="000000"/>
          <w:left w:val="none" w:sz="4" w:space="0" w:color="000000"/>
          <w:bottom w:val="single" w:sz="12" w:space="0" w:color="757070" w:themeColor="accent3"/>
          <w:right w:val="none" w:sz="4" w:space="0" w:color="000000"/>
        </w:tcBorders>
        <w:shd w:val="clear" w:color="FFFFFF" w:fill="auto"/>
      </w:tcPr>
    </w:tblStylePr>
    <w:tblStylePr w:type="lastRow">
      <w:rPr>
        <w:b/>
      </w:rPr>
      <w:tblPr/>
      <w:tcPr>
        <w:tcBorders>
          <w:top w:val="single" w:sz="4" w:space="0" w:color="757070"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3E1E1" w:fill="E3E1E1" w:themeFill="accent3" w:themeFillTint="34"/>
      </w:tcPr>
    </w:tblStylePr>
    <w:tblStylePr w:type="band1Horz">
      <w:rPr>
        <w:sz w:val="22"/>
      </w:rPr>
      <w:tblPr/>
      <w:tcPr>
        <w:shd w:val="clear" w:color="E3E1E1" w:fill="E3E1E1"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ABA8A8" w:themeColor="accent4" w:themeTint="9A"/>
        <w:insideH w:val="single" w:sz="4" w:space="0" w:color="ABA8A8" w:themeColor="accent4" w:themeTint="9A"/>
        <w:insideV w:val="single" w:sz="4" w:space="0" w:color="ABA8A8" w:themeColor="accent4" w:themeTint="9A"/>
      </w:tblBorders>
    </w:tblPr>
    <w:tblStylePr w:type="firstRow">
      <w:rPr>
        <w:b/>
      </w:rPr>
      <w:tblPr/>
      <w:tcPr>
        <w:tcBorders>
          <w:top w:val="none" w:sz="4" w:space="0" w:color="000000"/>
          <w:left w:val="none" w:sz="4" w:space="0" w:color="000000"/>
          <w:bottom w:val="single" w:sz="12" w:space="0" w:color="757070" w:themeColor="accent4"/>
          <w:right w:val="none" w:sz="4" w:space="0" w:color="000000"/>
        </w:tcBorders>
        <w:shd w:val="clear" w:color="FFFFFF" w:fill="auto"/>
      </w:tcPr>
    </w:tblStylePr>
    <w:tblStylePr w:type="lastRow">
      <w:rPr>
        <w:b/>
      </w:rPr>
      <w:tblPr/>
      <w:tcPr>
        <w:tcBorders>
          <w:top w:val="single" w:sz="4" w:space="0" w:color="75707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3E1E1" w:fill="E3E1E1" w:themeFill="accent4" w:themeFillTint="34"/>
      </w:tcPr>
    </w:tblStylePr>
    <w:tblStylePr w:type="band1Horz">
      <w:rPr>
        <w:sz w:val="22"/>
      </w:rPr>
      <w:tblPr/>
      <w:tcPr>
        <w:shd w:val="clear" w:color="E3E1E1" w:fill="E3E1E1"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3A3838" w:themeColor="accent5"/>
        <w:insideH w:val="single" w:sz="4" w:space="0" w:color="3A3838" w:themeColor="accent5"/>
        <w:insideV w:val="single" w:sz="4" w:space="0" w:color="3A3838" w:themeColor="accent5"/>
      </w:tblBorders>
    </w:tblPr>
    <w:tblStylePr w:type="firstRow">
      <w:rPr>
        <w:b/>
      </w:rPr>
      <w:tblPr/>
      <w:tcPr>
        <w:tcBorders>
          <w:top w:val="none" w:sz="4" w:space="0" w:color="000000"/>
          <w:left w:val="none" w:sz="4" w:space="0" w:color="000000"/>
          <w:bottom w:val="single" w:sz="12" w:space="0" w:color="3A3838" w:themeColor="accent5"/>
          <w:right w:val="none" w:sz="4" w:space="0" w:color="000000"/>
        </w:tcBorders>
        <w:shd w:val="clear" w:color="FFFFFF" w:fill="auto"/>
      </w:tcPr>
    </w:tblStylePr>
    <w:tblStylePr w:type="lastRow">
      <w:rPr>
        <w:b/>
      </w:rPr>
      <w:tblPr/>
      <w:tcPr>
        <w:tcBorders>
          <w:top w:val="single" w:sz="4" w:space="0" w:color="3A3838"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7D5D5" w:fill="D7D5D5" w:themeFill="accent5" w:themeFillTint="34"/>
      </w:tcPr>
    </w:tblStylePr>
    <w:tblStylePr w:type="band1Horz">
      <w:rPr>
        <w:sz w:val="22"/>
      </w:rPr>
      <w:tblPr/>
      <w:tcPr>
        <w:shd w:val="clear" w:color="D7D5D5" w:fill="D7D5D5"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171616" w:themeColor="accent6"/>
        <w:insideH w:val="single" w:sz="4" w:space="0" w:color="171616" w:themeColor="accent6"/>
        <w:insideV w:val="single" w:sz="4" w:space="0" w:color="171616" w:themeColor="accent6"/>
      </w:tblBorders>
    </w:tblPr>
    <w:tblStylePr w:type="firstRow">
      <w:rPr>
        <w:b/>
      </w:rPr>
      <w:tblPr/>
      <w:tcPr>
        <w:tcBorders>
          <w:top w:val="none" w:sz="4" w:space="0" w:color="000000"/>
          <w:left w:val="none" w:sz="4" w:space="0" w:color="000000"/>
          <w:bottom w:val="single" w:sz="12" w:space="0" w:color="171616" w:themeColor="accent6"/>
          <w:right w:val="none" w:sz="4" w:space="0" w:color="000000"/>
        </w:tcBorders>
        <w:shd w:val="clear" w:color="FFFFFF" w:fill="auto"/>
      </w:tcPr>
    </w:tblStylePr>
    <w:tblStylePr w:type="lastRow">
      <w:rPr>
        <w:b/>
      </w:rPr>
      <w:tblPr/>
      <w:tcPr>
        <w:tcBorders>
          <w:top w:val="single" w:sz="4" w:space="0" w:color="17161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0CECE" w:fill="D0CECE" w:themeFill="accent6" w:themeFillTint="34"/>
      </w:tcPr>
    </w:tblStylePr>
    <w:tblStylePr w:type="band1Horz">
      <w:rPr>
        <w:sz w:val="22"/>
      </w:rPr>
      <w:tblPr/>
      <w:tcPr>
        <w:shd w:val="clear" w:color="D0CECE" w:fill="D0CECE"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E9E8E8" w:themeColor="accent1" w:themeTint="EA"/>
        <w:insideH w:val="single" w:sz="4" w:space="0" w:color="E9E8E8" w:themeColor="accent1" w:themeTint="EA"/>
        <w:insideV w:val="single" w:sz="4" w:space="0" w:color="E9E8E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AF9F9" w:fill="FAF9F9" w:themeFill="accent1" w:themeFillTint="34"/>
      </w:tcPr>
    </w:tblStylePr>
    <w:tblStylePr w:type="band1Horz">
      <w:rPr>
        <w:sz w:val="22"/>
      </w:rPr>
      <w:tblPr/>
      <w:tcPr>
        <w:shd w:val="clear" w:color="FAF9F9" w:fill="FAF9F9"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CFCDCD" w:themeColor="accent2" w:themeTint="97"/>
        <w:insideH w:val="single" w:sz="4" w:space="0" w:color="CFCDCD" w:themeColor="accent2" w:themeTint="97"/>
        <w:insideV w:val="single" w:sz="4" w:space="0" w:color="CFCDCD"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FEEEE" w:fill="EFEEEE" w:themeFill="accent2" w:themeFillTint="32"/>
      </w:tcPr>
    </w:tblStylePr>
    <w:tblStylePr w:type="band1Horz">
      <w:rPr>
        <w:sz w:val="22"/>
      </w:rPr>
      <w:tblPr/>
      <w:tcPr>
        <w:shd w:val="clear" w:color="EFEEEE" w:fill="EFEEEE"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757070" w:themeColor="accent3" w:themeTint="FE"/>
        <w:insideH w:val="single" w:sz="4" w:space="0" w:color="757070" w:themeColor="accent3" w:themeTint="FE"/>
        <w:insideV w:val="single" w:sz="4" w:space="0" w:color="757070"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3E1E1" w:fill="E3E1E1" w:themeFill="accent3" w:themeFillTint="34"/>
      </w:tcPr>
    </w:tblStylePr>
    <w:tblStylePr w:type="band1Horz">
      <w:rPr>
        <w:sz w:val="22"/>
      </w:rPr>
      <w:tblPr/>
      <w:tcPr>
        <w:shd w:val="clear" w:color="E3E1E1" w:fill="E3E1E1"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ABA8A8" w:themeColor="accent4" w:themeTint="9A"/>
        <w:insideH w:val="single" w:sz="4" w:space="0" w:color="ABA8A8" w:themeColor="accent4" w:themeTint="9A"/>
        <w:insideV w:val="single" w:sz="4" w:space="0" w:color="ABA8A8"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3E1E1" w:fill="E3E1E1" w:themeFill="accent4" w:themeFillTint="34"/>
      </w:tcPr>
    </w:tblStylePr>
    <w:tblStylePr w:type="band1Horz">
      <w:rPr>
        <w:sz w:val="22"/>
      </w:rPr>
      <w:tblPr/>
      <w:tcPr>
        <w:shd w:val="clear" w:color="E3E1E1" w:fill="E3E1E1"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3A3838" w:themeColor="accent5"/>
        <w:insideH w:val="single" w:sz="4" w:space="0" w:color="3A3838" w:themeColor="accent5"/>
        <w:insideV w:val="single" w:sz="4" w:space="0" w:color="3A3838"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7D5D5" w:fill="D7D5D5" w:themeFill="accent5" w:themeFillTint="34"/>
      </w:tcPr>
    </w:tblStylePr>
    <w:tblStylePr w:type="band1Horz">
      <w:rPr>
        <w:sz w:val="22"/>
      </w:rPr>
      <w:tblPr/>
      <w:tcPr>
        <w:shd w:val="clear" w:color="D7D5D5" w:fill="D7D5D5"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171616" w:themeColor="accent6"/>
        <w:insideH w:val="single" w:sz="4" w:space="0" w:color="171616" w:themeColor="accent6"/>
        <w:insideV w:val="single" w:sz="4" w:space="0" w:color="171616"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0CECE" w:fill="D0CECE" w:themeFill="accent6" w:themeFillTint="34"/>
      </w:tcPr>
    </w:tblStylePr>
    <w:tblStylePr w:type="band1Horz">
      <w:rPr>
        <w:sz w:val="22"/>
      </w:rPr>
      <w:tblPr/>
      <w:tcPr>
        <w:shd w:val="clear" w:color="D0CECE" w:fill="D0CECE"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F1F0F0" w:themeColor="accent1" w:themeTint="90"/>
        <w:left w:val="single" w:sz="4" w:space="0" w:color="F1F0F0" w:themeColor="accent1" w:themeTint="90"/>
        <w:bottom w:val="single" w:sz="4" w:space="0" w:color="F1F0F0" w:themeColor="accent1" w:themeTint="90"/>
        <w:right w:val="single" w:sz="4" w:space="0" w:color="F1F0F0" w:themeColor="accent1" w:themeTint="90"/>
        <w:insideH w:val="single" w:sz="4" w:space="0" w:color="F1F0F0" w:themeColor="accent1" w:themeTint="90"/>
        <w:insideV w:val="single" w:sz="4" w:space="0" w:color="F1F0F0" w:themeColor="accent1" w:themeTint="90"/>
      </w:tblBorders>
    </w:tblPr>
    <w:tblStylePr w:type="firstRow">
      <w:rPr>
        <w:b/>
        <w:sz w:val="22"/>
      </w:rPr>
      <w:tblPr/>
      <w:tcPr>
        <w:tcBorders>
          <w:top w:val="single" w:sz="4" w:space="0" w:color="E7E6E6" w:themeColor="accent1"/>
          <w:left w:val="single" w:sz="4" w:space="0" w:color="E7E6E6" w:themeColor="accent1"/>
          <w:bottom w:val="single" w:sz="4" w:space="0" w:color="E7E6E6" w:themeColor="accent1"/>
          <w:right w:val="single" w:sz="4" w:space="0" w:color="E7E6E6" w:themeColor="accent1"/>
        </w:tcBorders>
        <w:shd w:val="clear" w:color="E9E8E8" w:fill="E9E8E8" w:themeFill="accent1" w:themeFillTint="EA"/>
      </w:tcPr>
    </w:tblStylePr>
    <w:tblStylePr w:type="lastRow">
      <w:rPr>
        <w:b/>
      </w:rPr>
      <w:tblPr/>
      <w:tcPr>
        <w:tcBorders>
          <w:top w:val="single" w:sz="4" w:space="0" w:color="E7E6E6" w:themeColor="accent1"/>
        </w:tcBorders>
      </w:tcPr>
    </w:tblStylePr>
    <w:tblStylePr w:type="firstCol">
      <w:rPr>
        <w:b/>
      </w:rPr>
    </w:tblStylePr>
    <w:tblStylePr w:type="lastCol">
      <w:rPr>
        <w:b/>
      </w:rPr>
    </w:tblStylePr>
    <w:tblStylePr w:type="band1Vert">
      <w:rPr>
        <w:sz w:val="22"/>
      </w:rPr>
      <w:tblPr/>
      <w:tcPr>
        <w:shd w:val="clear" w:color="FAFAFA" w:fill="FAFAFA" w:themeFill="accent1" w:themeFillTint="32"/>
      </w:tcPr>
    </w:tblStylePr>
    <w:tblStylePr w:type="band1Horz">
      <w:rPr>
        <w:sz w:val="22"/>
      </w:rPr>
      <w:tblPr/>
      <w:tcPr>
        <w:shd w:val="clear" w:color="FAFAFA" w:fill="FAFAFA"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1CFCF" w:themeColor="accent2" w:themeTint="90"/>
        <w:left w:val="single" w:sz="4" w:space="0" w:color="D1CFCF" w:themeColor="accent2" w:themeTint="90"/>
        <w:bottom w:val="single" w:sz="4" w:space="0" w:color="D1CFCF" w:themeColor="accent2" w:themeTint="90"/>
        <w:right w:val="single" w:sz="4" w:space="0" w:color="D1CFCF" w:themeColor="accent2" w:themeTint="90"/>
        <w:insideH w:val="single" w:sz="4" w:space="0" w:color="D1CFCF" w:themeColor="accent2" w:themeTint="90"/>
        <w:insideV w:val="single" w:sz="4" w:space="0" w:color="D1CFCF" w:themeColor="accent2" w:themeTint="90"/>
      </w:tblBorders>
    </w:tblPr>
    <w:tblStylePr w:type="firstRow">
      <w:rPr>
        <w:b/>
        <w:sz w:val="22"/>
      </w:rPr>
      <w:tblPr/>
      <w:tcPr>
        <w:tcBorders>
          <w:top w:val="single" w:sz="4" w:space="0" w:color="AEABAB" w:themeColor="accent2"/>
          <w:left w:val="single" w:sz="4" w:space="0" w:color="AEABAB" w:themeColor="accent2"/>
          <w:bottom w:val="single" w:sz="4" w:space="0" w:color="AEABAB" w:themeColor="accent2"/>
          <w:right w:val="single" w:sz="4" w:space="0" w:color="AEABAB" w:themeColor="accent2"/>
        </w:tcBorders>
        <w:shd w:val="clear" w:color="CFCDCD" w:fill="CFCDCD" w:themeFill="accent2" w:themeFillTint="97"/>
      </w:tcPr>
    </w:tblStylePr>
    <w:tblStylePr w:type="lastRow">
      <w:rPr>
        <w:b/>
      </w:rPr>
      <w:tblPr/>
      <w:tcPr>
        <w:tcBorders>
          <w:top w:val="single" w:sz="4" w:space="0" w:color="AEABAB" w:themeColor="accent2"/>
        </w:tcBorders>
      </w:tcPr>
    </w:tblStylePr>
    <w:tblStylePr w:type="firstCol">
      <w:rPr>
        <w:b/>
      </w:rPr>
    </w:tblStylePr>
    <w:tblStylePr w:type="lastCol">
      <w:rPr>
        <w:b/>
      </w:rPr>
    </w:tblStylePr>
    <w:tblStylePr w:type="band1Vert">
      <w:rPr>
        <w:sz w:val="22"/>
      </w:rPr>
      <w:tblPr/>
      <w:tcPr>
        <w:shd w:val="clear" w:color="EFEEEE" w:fill="EFEEEE" w:themeFill="accent2" w:themeFillTint="32"/>
      </w:tcPr>
    </w:tblStylePr>
    <w:tblStylePr w:type="band1Horz">
      <w:rPr>
        <w:sz w:val="22"/>
      </w:rPr>
      <w:tblPr/>
      <w:tcPr>
        <w:shd w:val="clear" w:color="EFEEEE" w:fill="EFEEEE"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B1ADAD" w:themeColor="accent3" w:themeTint="90"/>
        <w:left w:val="single" w:sz="4" w:space="0" w:color="B1ADAD" w:themeColor="accent3" w:themeTint="90"/>
        <w:bottom w:val="single" w:sz="4" w:space="0" w:color="B1ADAD" w:themeColor="accent3" w:themeTint="90"/>
        <w:right w:val="single" w:sz="4" w:space="0" w:color="B1ADAD" w:themeColor="accent3" w:themeTint="90"/>
        <w:insideH w:val="single" w:sz="4" w:space="0" w:color="B1ADAD" w:themeColor="accent3" w:themeTint="90"/>
        <w:insideV w:val="single" w:sz="4" w:space="0" w:color="B1ADAD" w:themeColor="accent3" w:themeTint="90"/>
      </w:tblBorders>
    </w:tblPr>
    <w:tblStylePr w:type="firstRow">
      <w:rPr>
        <w:b/>
        <w:sz w:val="22"/>
      </w:rPr>
      <w:tblPr/>
      <w:tcPr>
        <w:tcBorders>
          <w:top w:val="single" w:sz="4" w:space="0" w:color="757070" w:themeColor="accent3"/>
          <w:left w:val="single" w:sz="4" w:space="0" w:color="757070" w:themeColor="accent3"/>
          <w:bottom w:val="single" w:sz="4" w:space="0" w:color="757070" w:themeColor="accent3"/>
          <w:right w:val="single" w:sz="4" w:space="0" w:color="757070" w:themeColor="accent3"/>
        </w:tcBorders>
        <w:shd w:val="clear" w:color="757070" w:fill="757070" w:themeFill="accent3" w:themeFillTint="FE"/>
      </w:tcPr>
    </w:tblStylePr>
    <w:tblStylePr w:type="lastRow">
      <w:rPr>
        <w:b/>
      </w:rPr>
      <w:tblPr/>
      <w:tcPr>
        <w:tcBorders>
          <w:top w:val="single" w:sz="4" w:space="0" w:color="757070" w:themeColor="accent3"/>
        </w:tcBorders>
      </w:tcPr>
    </w:tblStylePr>
    <w:tblStylePr w:type="firstCol">
      <w:rPr>
        <w:b/>
      </w:rPr>
    </w:tblStylePr>
    <w:tblStylePr w:type="lastCol">
      <w:rPr>
        <w:b/>
      </w:rPr>
    </w:tblStylePr>
    <w:tblStylePr w:type="band1Vert">
      <w:rPr>
        <w:sz w:val="22"/>
      </w:rPr>
      <w:tblPr/>
      <w:tcPr>
        <w:shd w:val="clear" w:color="E3E1E1" w:fill="E3E1E1" w:themeFill="accent3" w:themeFillTint="34"/>
      </w:tcPr>
    </w:tblStylePr>
    <w:tblStylePr w:type="band1Horz">
      <w:rPr>
        <w:sz w:val="22"/>
      </w:rPr>
      <w:tblPr/>
      <w:tcPr>
        <w:shd w:val="clear" w:color="E3E1E1" w:fill="E3E1E1"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1ADAD" w:themeColor="accent4" w:themeTint="90"/>
        <w:left w:val="single" w:sz="4" w:space="0" w:color="B1ADAD" w:themeColor="accent4" w:themeTint="90"/>
        <w:bottom w:val="single" w:sz="4" w:space="0" w:color="B1ADAD" w:themeColor="accent4" w:themeTint="90"/>
        <w:right w:val="single" w:sz="4" w:space="0" w:color="B1ADAD" w:themeColor="accent4" w:themeTint="90"/>
        <w:insideH w:val="single" w:sz="4" w:space="0" w:color="B1ADAD" w:themeColor="accent4" w:themeTint="90"/>
        <w:insideV w:val="single" w:sz="4" w:space="0" w:color="B1ADAD" w:themeColor="accent4" w:themeTint="90"/>
      </w:tblBorders>
    </w:tblPr>
    <w:tblStylePr w:type="firstRow">
      <w:rPr>
        <w:b/>
        <w:sz w:val="22"/>
      </w:rPr>
      <w:tblPr/>
      <w:tcPr>
        <w:tcBorders>
          <w:top w:val="single" w:sz="4" w:space="0" w:color="757070" w:themeColor="accent4"/>
          <w:left w:val="single" w:sz="4" w:space="0" w:color="757070" w:themeColor="accent4"/>
          <w:bottom w:val="single" w:sz="4" w:space="0" w:color="757070" w:themeColor="accent4"/>
          <w:right w:val="single" w:sz="4" w:space="0" w:color="757070" w:themeColor="accent4"/>
        </w:tcBorders>
        <w:shd w:val="clear" w:color="ABA8A8" w:fill="ABA8A8" w:themeFill="accent4" w:themeFillTint="9A"/>
      </w:tcPr>
    </w:tblStylePr>
    <w:tblStylePr w:type="lastRow">
      <w:rPr>
        <w:b/>
      </w:rPr>
      <w:tblPr/>
      <w:tcPr>
        <w:tcBorders>
          <w:top w:val="single" w:sz="4" w:space="0" w:color="757070" w:themeColor="accent4"/>
        </w:tcBorders>
      </w:tcPr>
    </w:tblStylePr>
    <w:tblStylePr w:type="firstCol">
      <w:rPr>
        <w:b/>
      </w:rPr>
    </w:tblStylePr>
    <w:tblStylePr w:type="lastCol">
      <w:rPr>
        <w:b/>
      </w:rPr>
    </w:tblStylePr>
    <w:tblStylePr w:type="band1Vert">
      <w:rPr>
        <w:sz w:val="22"/>
      </w:rPr>
      <w:tblPr/>
      <w:tcPr>
        <w:shd w:val="clear" w:color="E3E1E1" w:fill="E3E1E1" w:themeFill="accent4" w:themeFillTint="34"/>
      </w:tcPr>
    </w:tblStylePr>
    <w:tblStylePr w:type="band1Horz">
      <w:rPr>
        <w:sz w:val="22"/>
      </w:rPr>
      <w:tblPr/>
      <w:tcPr>
        <w:shd w:val="clear" w:color="E3E1E1" w:fill="E3E1E1"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18D8D" w:themeColor="accent5" w:themeTint="90"/>
        <w:left w:val="single" w:sz="4" w:space="0" w:color="918D8D" w:themeColor="accent5" w:themeTint="90"/>
        <w:bottom w:val="single" w:sz="4" w:space="0" w:color="918D8D" w:themeColor="accent5" w:themeTint="90"/>
        <w:right w:val="single" w:sz="4" w:space="0" w:color="918D8D" w:themeColor="accent5" w:themeTint="90"/>
        <w:insideH w:val="single" w:sz="4" w:space="0" w:color="918D8D" w:themeColor="accent5" w:themeTint="90"/>
        <w:insideV w:val="single" w:sz="4" w:space="0" w:color="918D8D" w:themeColor="accent5" w:themeTint="90"/>
      </w:tblBorders>
    </w:tblPr>
    <w:tblStylePr w:type="firstRow">
      <w:rPr>
        <w:b/>
        <w:sz w:val="22"/>
      </w:rPr>
      <w:tblPr/>
      <w:tcPr>
        <w:tcBorders>
          <w:top w:val="single" w:sz="4" w:space="0" w:color="3A3838" w:themeColor="accent5"/>
          <w:left w:val="single" w:sz="4" w:space="0" w:color="3A3838" w:themeColor="accent5"/>
          <w:bottom w:val="single" w:sz="4" w:space="0" w:color="3A3838" w:themeColor="accent5"/>
          <w:right w:val="single" w:sz="4" w:space="0" w:color="3A3838" w:themeColor="accent5"/>
        </w:tcBorders>
        <w:shd w:val="clear" w:color="3A3838" w:fill="3A3838" w:themeFill="accent5"/>
      </w:tcPr>
    </w:tblStylePr>
    <w:tblStylePr w:type="lastRow">
      <w:rPr>
        <w:b/>
      </w:rPr>
      <w:tblPr/>
      <w:tcPr>
        <w:tcBorders>
          <w:top w:val="single" w:sz="4" w:space="0" w:color="3A3838" w:themeColor="accent5"/>
        </w:tcBorders>
      </w:tcPr>
    </w:tblStylePr>
    <w:tblStylePr w:type="firstCol">
      <w:rPr>
        <w:b/>
      </w:rPr>
    </w:tblStylePr>
    <w:tblStylePr w:type="lastCol">
      <w:rPr>
        <w:b/>
      </w:rPr>
    </w:tblStylePr>
    <w:tblStylePr w:type="band1Vert">
      <w:rPr>
        <w:sz w:val="22"/>
      </w:rPr>
      <w:tblPr/>
      <w:tcPr>
        <w:shd w:val="clear" w:color="D7D5D5" w:fill="D7D5D5" w:themeFill="accent5" w:themeFillTint="34"/>
      </w:tcPr>
    </w:tblStylePr>
    <w:tblStylePr w:type="band1Horz">
      <w:rPr>
        <w:sz w:val="22"/>
      </w:rPr>
      <w:tblPr/>
      <w:tcPr>
        <w:shd w:val="clear" w:color="D7D5D5" w:fill="D7D5D5"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7E7979" w:themeColor="accent6" w:themeTint="90"/>
        <w:left w:val="single" w:sz="4" w:space="0" w:color="7E7979" w:themeColor="accent6" w:themeTint="90"/>
        <w:bottom w:val="single" w:sz="4" w:space="0" w:color="7E7979" w:themeColor="accent6" w:themeTint="90"/>
        <w:right w:val="single" w:sz="4" w:space="0" w:color="7E7979" w:themeColor="accent6" w:themeTint="90"/>
        <w:insideH w:val="single" w:sz="4" w:space="0" w:color="7E7979" w:themeColor="accent6" w:themeTint="90"/>
        <w:insideV w:val="single" w:sz="4" w:space="0" w:color="7E7979" w:themeColor="accent6" w:themeTint="90"/>
      </w:tblBorders>
    </w:tblPr>
    <w:tblStylePr w:type="firstRow">
      <w:rPr>
        <w:b/>
        <w:sz w:val="22"/>
      </w:rPr>
      <w:tblPr/>
      <w:tcPr>
        <w:tcBorders>
          <w:top w:val="single" w:sz="4" w:space="0" w:color="171616" w:themeColor="accent6"/>
          <w:left w:val="single" w:sz="4" w:space="0" w:color="171616" w:themeColor="accent6"/>
          <w:bottom w:val="single" w:sz="4" w:space="0" w:color="171616" w:themeColor="accent6"/>
          <w:right w:val="single" w:sz="4" w:space="0" w:color="171616" w:themeColor="accent6"/>
        </w:tcBorders>
        <w:shd w:val="clear" w:color="171616" w:fill="171616" w:themeFill="accent6"/>
      </w:tcPr>
    </w:tblStylePr>
    <w:tblStylePr w:type="lastRow">
      <w:rPr>
        <w:b/>
      </w:rPr>
      <w:tblPr/>
      <w:tcPr>
        <w:tcBorders>
          <w:top w:val="single" w:sz="4" w:space="0" w:color="171616" w:themeColor="accent6"/>
        </w:tcBorders>
      </w:tcPr>
    </w:tblStylePr>
    <w:tblStylePr w:type="firstCol">
      <w:rPr>
        <w:b/>
      </w:rPr>
    </w:tblStylePr>
    <w:tblStylePr w:type="lastCol">
      <w:rPr>
        <w:b/>
      </w:rPr>
    </w:tblStylePr>
    <w:tblStylePr w:type="band1Vert">
      <w:rPr>
        <w:sz w:val="22"/>
      </w:rPr>
      <w:tblPr/>
      <w:tcPr>
        <w:shd w:val="clear" w:color="D0CECE" w:fill="D0CECE" w:themeFill="accent6" w:themeFillTint="34"/>
      </w:tcPr>
    </w:tblStylePr>
    <w:tblStylePr w:type="band1Horz">
      <w:rPr>
        <w:sz w:val="22"/>
      </w:rPr>
      <w:tblPr/>
      <w:tcPr>
        <w:shd w:val="clear" w:color="D0CECE" w:fill="D0CECE"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E7E6E6" w:fill="E7E6E6" w:themeFill="accent1"/>
      </w:tcPr>
    </w:tblStylePr>
    <w:tblStylePr w:type="lastRow">
      <w:rPr>
        <w:b/>
        <w:sz w:val="22"/>
      </w:rPr>
      <w:tblPr/>
      <w:tcPr>
        <w:tcBorders>
          <w:top w:val="single" w:sz="4" w:space="0" w:color="FFFFFF" w:themeColor="light1"/>
        </w:tcBorders>
        <w:shd w:val="clear" w:color="E7E6E6" w:fill="E7E6E6" w:themeFill="accent1"/>
      </w:tcPr>
    </w:tblStylePr>
    <w:tblStylePr w:type="firstCol">
      <w:rPr>
        <w:b/>
        <w:sz w:val="22"/>
      </w:rPr>
      <w:tblPr/>
      <w:tcPr>
        <w:shd w:val="clear" w:color="E7E6E6" w:fill="E7E6E6" w:themeFill="accent1"/>
      </w:tcPr>
    </w:tblStylePr>
    <w:tblStylePr w:type="lastCol">
      <w:rPr>
        <w:b/>
        <w:sz w:val="22"/>
      </w:rPr>
      <w:tblPr/>
      <w:tcPr>
        <w:shd w:val="clear" w:color="E7E6E6" w:fill="E7E6E6" w:themeFill="accent1"/>
      </w:tcPr>
    </w:tblStylePr>
    <w:tblStylePr w:type="band1Vert">
      <w:tblPr/>
      <w:tcPr>
        <w:shd w:val="clear" w:color="F4F3F3" w:fill="F4F3F3" w:themeFill="accent1" w:themeFillTint="75"/>
      </w:tcPr>
    </w:tblStylePr>
    <w:tblStylePr w:type="band1Horz">
      <w:tblPr/>
      <w:tcPr>
        <w:shd w:val="clear" w:color="F4F3F3" w:fill="F4F3F3"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EABAB" w:fill="AEABAB" w:themeFill="accent2"/>
      </w:tcPr>
    </w:tblStylePr>
    <w:tblStylePr w:type="lastRow">
      <w:rPr>
        <w:b/>
        <w:sz w:val="22"/>
      </w:rPr>
      <w:tblPr/>
      <w:tcPr>
        <w:tcBorders>
          <w:top w:val="single" w:sz="4" w:space="0" w:color="FFFFFF" w:themeColor="light1"/>
        </w:tcBorders>
        <w:shd w:val="clear" w:color="AEABAB" w:fill="AEABAB" w:themeFill="accent2"/>
      </w:tcPr>
    </w:tblStylePr>
    <w:tblStylePr w:type="firstCol">
      <w:rPr>
        <w:b/>
        <w:sz w:val="22"/>
      </w:rPr>
      <w:tblPr/>
      <w:tcPr>
        <w:shd w:val="clear" w:color="AEABAB" w:fill="AEABAB" w:themeFill="accent2"/>
      </w:tcPr>
    </w:tblStylePr>
    <w:tblStylePr w:type="lastCol">
      <w:rPr>
        <w:b/>
        <w:sz w:val="22"/>
      </w:rPr>
      <w:tblPr/>
      <w:tcPr>
        <w:shd w:val="clear" w:color="AEABAB" w:fill="AEABAB" w:themeFill="accent2"/>
      </w:tcPr>
    </w:tblStylePr>
    <w:tblStylePr w:type="band1Vert">
      <w:tblPr/>
      <w:tcPr>
        <w:shd w:val="clear" w:color="D9D8D8" w:fill="D9D8D8" w:themeFill="accent2" w:themeFillTint="75"/>
      </w:tcPr>
    </w:tblStylePr>
    <w:tblStylePr w:type="band1Horz">
      <w:tblPr/>
      <w:tcPr>
        <w:shd w:val="clear" w:color="D9D8D8" w:fill="D9D8D8"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757070" w:fill="757070" w:themeFill="accent3"/>
      </w:tcPr>
    </w:tblStylePr>
    <w:tblStylePr w:type="lastRow">
      <w:rPr>
        <w:b/>
        <w:sz w:val="22"/>
      </w:rPr>
      <w:tblPr/>
      <w:tcPr>
        <w:tcBorders>
          <w:top w:val="single" w:sz="4" w:space="0" w:color="FFFFFF" w:themeColor="light1"/>
        </w:tcBorders>
        <w:shd w:val="clear" w:color="757070" w:fill="757070" w:themeFill="accent3"/>
      </w:tcPr>
    </w:tblStylePr>
    <w:tblStylePr w:type="firstCol">
      <w:rPr>
        <w:b/>
        <w:sz w:val="22"/>
      </w:rPr>
      <w:tblPr/>
      <w:tcPr>
        <w:shd w:val="clear" w:color="757070" w:fill="757070" w:themeFill="accent3"/>
      </w:tcPr>
    </w:tblStylePr>
    <w:tblStylePr w:type="lastCol">
      <w:rPr>
        <w:b/>
        <w:sz w:val="22"/>
      </w:rPr>
      <w:tblPr/>
      <w:tcPr>
        <w:shd w:val="clear" w:color="757070" w:fill="757070" w:themeFill="accent3"/>
      </w:tcPr>
    </w:tblStylePr>
    <w:tblStylePr w:type="band1Vert">
      <w:tblPr/>
      <w:tcPr>
        <w:shd w:val="clear" w:color="C0BDBD" w:fill="C0BDBD" w:themeFill="accent3" w:themeFillTint="75"/>
      </w:tcPr>
    </w:tblStylePr>
    <w:tblStylePr w:type="band1Horz">
      <w:tblPr/>
      <w:tcPr>
        <w:shd w:val="clear" w:color="C0BDBD" w:fill="C0BDBD"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757070" w:fill="757070" w:themeFill="accent4"/>
      </w:tcPr>
    </w:tblStylePr>
    <w:tblStylePr w:type="lastRow">
      <w:rPr>
        <w:b/>
        <w:sz w:val="22"/>
      </w:rPr>
      <w:tblPr/>
      <w:tcPr>
        <w:tcBorders>
          <w:top w:val="single" w:sz="4" w:space="0" w:color="FFFFFF" w:themeColor="light1"/>
        </w:tcBorders>
        <w:shd w:val="clear" w:color="757070" w:fill="757070" w:themeFill="accent4"/>
      </w:tcPr>
    </w:tblStylePr>
    <w:tblStylePr w:type="firstCol">
      <w:rPr>
        <w:b/>
        <w:sz w:val="22"/>
      </w:rPr>
      <w:tblPr/>
      <w:tcPr>
        <w:shd w:val="clear" w:color="757070" w:fill="757070" w:themeFill="accent4"/>
      </w:tcPr>
    </w:tblStylePr>
    <w:tblStylePr w:type="lastCol">
      <w:rPr>
        <w:b/>
        <w:sz w:val="22"/>
      </w:rPr>
      <w:tblPr/>
      <w:tcPr>
        <w:shd w:val="clear" w:color="757070" w:fill="757070" w:themeFill="accent4"/>
      </w:tcPr>
    </w:tblStylePr>
    <w:tblStylePr w:type="band1Vert">
      <w:tblPr/>
      <w:tcPr>
        <w:shd w:val="clear" w:color="C0BDBD" w:fill="C0BDBD" w:themeFill="accent4" w:themeFillTint="75"/>
      </w:tcPr>
    </w:tblStylePr>
    <w:tblStylePr w:type="band1Horz">
      <w:tblPr/>
      <w:tcPr>
        <w:shd w:val="clear" w:color="C0BDBD" w:fill="C0BDBD"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3A3838" w:fill="3A3838" w:themeFill="accent5"/>
      </w:tcPr>
    </w:tblStylePr>
    <w:tblStylePr w:type="lastRow">
      <w:rPr>
        <w:b/>
        <w:sz w:val="22"/>
      </w:rPr>
      <w:tblPr/>
      <w:tcPr>
        <w:tcBorders>
          <w:top w:val="single" w:sz="4" w:space="0" w:color="FFFFFF" w:themeColor="light1"/>
        </w:tcBorders>
        <w:shd w:val="clear" w:color="3A3838" w:fill="3A3838" w:themeFill="accent5"/>
      </w:tcPr>
    </w:tblStylePr>
    <w:tblStylePr w:type="firstCol">
      <w:rPr>
        <w:b/>
        <w:sz w:val="22"/>
      </w:rPr>
      <w:tblPr/>
      <w:tcPr>
        <w:shd w:val="clear" w:color="3A3838" w:fill="3A3838" w:themeFill="accent5"/>
      </w:tcPr>
    </w:tblStylePr>
    <w:tblStylePr w:type="lastCol">
      <w:rPr>
        <w:b/>
        <w:sz w:val="22"/>
      </w:rPr>
      <w:tblPr/>
      <w:tcPr>
        <w:shd w:val="clear" w:color="3A3838" w:fill="3A3838" w:themeFill="accent5"/>
      </w:tcPr>
    </w:tblStylePr>
    <w:tblStylePr w:type="band1Vert">
      <w:tblPr/>
      <w:tcPr>
        <w:shd w:val="clear" w:color="A5A2A2" w:fill="A5A2A2" w:themeFill="accent5" w:themeFillTint="75"/>
      </w:tcPr>
    </w:tblStylePr>
    <w:tblStylePr w:type="band1Horz">
      <w:tblPr/>
      <w:tcPr>
        <w:shd w:val="clear" w:color="A5A2A2" w:fill="A5A2A2"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171616" w:fill="171616" w:themeFill="accent6"/>
      </w:tcPr>
    </w:tblStylePr>
    <w:tblStylePr w:type="lastRow">
      <w:rPr>
        <w:b/>
        <w:sz w:val="22"/>
      </w:rPr>
      <w:tblPr/>
      <w:tcPr>
        <w:tcBorders>
          <w:top w:val="single" w:sz="4" w:space="0" w:color="FFFFFF" w:themeColor="light1"/>
        </w:tcBorders>
        <w:shd w:val="clear" w:color="171616" w:fill="171616" w:themeFill="accent6"/>
      </w:tcPr>
    </w:tblStylePr>
    <w:tblStylePr w:type="firstCol">
      <w:rPr>
        <w:b/>
        <w:sz w:val="22"/>
      </w:rPr>
      <w:tblPr/>
      <w:tcPr>
        <w:shd w:val="clear" w:color="171616" w:fill="171616" w:themeFill="accent6"/>
      </w:tcPr>
    </w:tblStylePr>
    <w:tblStylePr w:type="lastCol">
      <w:rPr>
        <w:b/>
        <w:sz w:val="22"/>
      </w:rPr>
      <w:tblPr/>
      <w:tcPr>
        <w:shd w:val="clear" w:color="171616" w:fill="171616" w:themeFill="accent6"/>
      </w:tcPr>
    </w:tblStylePr>
    <w:tblStylePr w:type="band1Vert">
      <w:tblPr/>
      <w:tcPr>
        <w:shd w:val="clear" w:color="969191" w:fill="969191" w:themeFill="accent6" w:themeFillTint="75"/>
      </w:tcPr>
    </w:tblStylePr>
    <w:tblStylePr w:type="band1Horz">
      <w:tblPr/>
      <w:tcPr>
        <w:shd w:val="clear" w:color="969191" w:fill="969191"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F3F2F2" w:themeColor="accent1" w:themeTint="80"/>
        <w:left w:val="single" w:sz="4" w:space="0" w:color="F3F2F2" w:themeColor="accent1" w:themeTint="80"/>
        <w:bottom w:val="single" w:sz="4" w:space="0" w:color="F3F2F2" w:themeColor="accent1" w:themeTint="80"/>
        <w:right w:val="single" w:sz="4" w:space="0" w:color="F3F2F2" w:themeColor="accent1" w:themeTint="80"/>
        <w:insideH w:val="single" w:sz="4" w:space="0" w:color="F3F2F2" w:themeColor="accent1" w:themeTint="80"/>
        <w:insideV w:val="single" w:sz="4" w:space="0" w:color="F3F2F2" w:themeColor="accent1" w:themeTint="80"/>
      </w:tblBorders>
    </w:tblPr>
    <w:tblStylePr w:type="firstRow">
      <w:rPr>
        <w:b/>
        <w:color w:val="F3F2F2" w:themeColor="accent1" w:themeTint="80" w:themeShade="95"/>
      </w:rPr>
      <w:tblPr/>
      <w:tcPr>
        <w:tcBorders>
          <w:bottom w:val="single" w:sz="12" w:space="0" w:color="E7E6E6" w:themeColor="accent1"/>
        </w:tcBorders>
      </w:tcPr>
    </w:tblStylePr>
    <w:tblStylePr w:type="lastRow">
      <w:rPr>
        <w:b/>
        <w:color w:val="F3F2F2" w:themeColor="accent1" w:themeTint="80" w:themeShade="95"/>
      </w:rPr>
    </w:tblStylePr>
    <w:tblStylePr w:type="firstCol">
      <w:rPr>
        <w:b/>
        <w:color w:val="F3F2F2" w:themeColor="accent1" w:themeTint="80" w:themeShade="95"/>
      </w:rPr>
    </w:tblStylePr>
    <w:tblStylePr w:type="lastCol">
      <w:rPr>
        <w:b/>
        <w:color w:val="F3F2F2" w:themeColor="accent1" w:themeTint="80" w:themeShade="95"/>
      </w:rPr>
    </w:tblStylePr>
    <w:tblStylePr w:type="band1Vert">
      <w:tblPr/>
      <w:tcPr>
        <w:shd w:val="clear" w:color="FAF9F9" w:fill="FAF9F9" w:themeFill="accent1" w:themeFillTint="34"/>
      </w:tcPr>
    </w:tblStylePr>
    <w:tblStylePr w:type="band1Horz">
      <w:rPr>
        <w:color w:val="F3F2F2" w:themeColor="accent1" w:themeTint="80" w:themeShade="95"/>
        <w:sz w:val="22"/>
      </w:rPr>
      <w:tblPr/>
      <w:tcPr>
        <w:shd w:val="clear" w:color="FAF9F9" w:fill="FAF9F9" w:themeFill="accent1" w:themeFillTint="34"/>
      </w:tcPr>
    </w:tblStylePr>
    <w:tblStylePr w:type="band2Horz">
      <w:rPr>
        <w:color w:val="F3F2F2"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CFCDCD" w:themeColor="accent2" w:themeTint="97"/>
        <w:left w:val="single" w:sz="4" w:space="0" w:color="CFCDCD" w:themeColor="accent2" w:themeTint="97"/>
        <w:bottom w:val="single" w:sz="4" w:space="0" w:color="CFCDCD" w:themeColor="accent2" w:themeTint="97"/>
        <w:right w:val="single" w:sz="4" w:space="0" w:color="CFCDCD" w:themeColor="accent2" w:themeTint="97"/>
        <w:insideH w:val="single" w:sz="4" w:space="0" w:color="CFCDCD" w:themeColor="accent2" w:themeTint="97"/>
        <w:insideV w:val="single" w:sz="4" w:space="0" w:color="CFCDCD" w:themeColor="accent2" w:themeTint="97"/>
      </w:tblBorders>
    </w:tblPr>
    <w:tblStylePr w:type="firstRow">
      <w:rPr>
        <w:b/>
        <w:color w:val="CFCDCD" w:themeColor="accent2" w:themeTint="97" w:themeShade="95"/>
      </w:rPr>
      <w:tblPr/>
      <w:tcPr>
        <w:tcBorders>
          <w:bottom w:val="single" w:sz="12" w:space="0" w:color="AEABAB" w:themeColor="accent2"/>
        </w:tcBorders>
      </w:tcPr>
    </w:tblStylePr>
    <w:tblStylePr w:type="lastRow">
      <w:rPr>
        <w:b/>
        <w:color w:val="CFCDCD" w:themeColor="accent2" w:themeTint="97" w:themeShade="95"/>
      </w:rPr>
    </w:tblStylePr>
    <w:tblStylePr w:type="firstCol">
      <w:rPr>
        <w:b/>
        <w:color w:val="CFCDCD" w:themeColor="accent2" w:themeTint="97" w:themeShade="95"/>
      </w:rPr>
    </w:tblStylePr>
    <w:tblStylePr w:type="lastCol">
      <w:rPr>
        <w:b/>
        <w:color w:val="CFCDCD" w:themeColor="accent2" w:themeTint="97" w:themeShade="95"/>
      </w:rPr>
    </w:tblStylePr>
    <w:tblStylePr w:type="band1Vert">
      <w:tblPr/>
      <w:tcPr>
        <w:shd w:val="clear" w:color="EFEEEE" w:fill="EFEEEE" w:themeFill="accent2" w:themeFillTint="32"/>
      </w:tcPr>
    </w:tblStylePr>
    <w:tblStylePr w:type="band1Horz">
      <w:rPr>
        <w:color w:val="CFCDCD" w:themeColor="accent2" w:themeTint="97" w:themeShade="95"/>
        <w:sz w:val="22"/>
      </w:rPr>
      <w:tblPr/>
      <w:tcPr>
        <w:shd w:val="clear" w:color="EFEEEE" w:fill="EFEEEE" w:themeFill="accent2" w:themeFillTint="32"/>
      </w:tcPr>
    </w:tblStylePr>
    <w:tblStylePr w:type="band2Horz">
      <w:rPr>
        <w:color w:val="CFCDCD"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757070" w:themeColor="accent3" w:themeTint="FE"/>
        <w:left w:val="single" w:sz="4" w:space="0" w:color="757070" w:themeColor="accent3" w:themeTint="FE"/>
        <w:bottom w:val="single" w:sz="4" w:space="0" w:color="757070" w:themeColor="accent3" w:themeTint="FE"/>
        <w:right w:val="single" w:sz="4" w:space="0" w:color="757070" w:themeColor="accent3" w:themeTint="FE"/>
        <w:insideH w:val="single" w:sz="4" w:space="0" w:color="757070" w:themeColor="accent3" w:themeTint="FE"/>
        <w:insideV w:val="single" w:sz="4" w:space="0" w:color="757070" w:themeColor="accent3" w:themeTint="FE"/>
      </w:tblBorders>
    </w:tblPr>
    <w:tblStylePr w:type="firstRow">
      <w:rPr>
        <w:b/>
        <w:color w:val="757070" w:themeColor="accent3" w:themeTint="FE" w:themeShade="95"/>
      </w:rPr>
      <w:tblPr/>
      <w:tcPr>
        <w:tcBorders>
          <w:bottom w:val="single" w:sz="12" w:space="0" w:color="757070" w:themeColor="accent3"/>
        </w:tcBorders>
      </w:tcPr>
    </w:tblStylePr>
    <w:tblStylePr w:type="lastRow">
      <w:rPr>
        <w:b/>
        <w:color w:val="757070" w:themeColor="accent3" w:themeTint="FE" w:themeShade="95"/>
      </w:rPr>
    </w:tblStylePr>
    <w:tblStylePr w:type="firstCol">
      <w:rPr>
        <w:b/>
        <w:color w:val="757070" w:themeColor="accent3" w:themeTint="FE" w:themeShade="95"/>
      </w:rPr>
    </w:tblStylePr>
    <w:tblStylePr w:type="lastCol">
      <w:rPr>
        <w:b/>
        <w:color w:val="757070" w:themeColor="accent3" w:themeTint="FE" w:themeShade="95"/>
      </w:rPr>
    </w:tblStylePr>
    <w:tblStylePr w:type="band1Vert">
      <w:tblPr/>
      <w:tcPr>
        <w:shd w:val="clear" w:color="E3E1E1" w:fill="E3E1E1" w:themeFill="accent3" w:themeFillTint="34"/>
      </w:tcPr>
    </w:tblStylePr>
    <w:tblStylePr w:type="band1Horz">
      <w:rPr>
        <w:color w:val="757070" w:themeColor="accent3" w:themeTint="FE" w:themeShade="95"/>
        <w:sz w:val="22"/>
      </w:rPr>
      <w:tblPr/>
      <w:tcPr>
        <w:shd w:val="clear" w:color="E3E1E1" w:fill="E3E1E1" w:themeFill="accent3" w:themeFillTint="34"/>
      </w:tcPr>
    </w:tblStylePr>
    <w:tblStylePr w:type="band2Horz">
      <w:rPr>
        <w:color w:val="757070"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ABA8A8" w:themeColor="accent4" w:themeTint="9A"/>
        <w:left w:val="single" w:sz="4" w:space="0" w:color="ABA8A8" w:themeColor="accent4" w:themeTint="9A"/>
        <w:bottom w:val="single" w:sz="4" w:space="0" w:color="ABA8A8" w:themeColor="accent4" w:themeTint="9A"/>
        <w:right w:val="single" w:sz="4" w:space="0" w:color="ABA8A8" w:themeColor="accent4" w:themeTint="9A"/>
        <w:insideH w:val="single" w:sz="4" w:space="0" w:color="ABA8A8" w:themeColor="accent4" w:themeTint="9A"/>
        <w:insideV w:val="single" w:sz="4" w:space="0" w:color="ABA8A8" w:themeColor="accent4" w:themeTint="9A"/>
      </w:tblBorders>
    </w:tblPr>
    <w:tblStylePr w:type="firstRow">
      <w:rPr>
        <w:b/>
        <w:color w:val="ABA8A8" w:themeColor="accent4" w:themeTint="9A" w:themeShade="95"/>
      </w:rPr>
      <w:tblPr/>
      <w:tcPr>
        <w:tcBorders>
          <w:bottom w:val="single" w:sz="12" w:space="0" w:color="757070" w:themeColor="accent4"/>
        </w:tcBorders>
      </w:tcPr>
    </w:tblStylePr>
    <w:tblStylePr w:type="lastRow">
      <w:rPr>
        <w:b/>
        <w:color w:val="ABA8A8" w:themeColor="accent4" w:themeTint="9A" w:themeShade="95"/>
      </w:rPr>
    </w:tblStylePr>
    <w:tblStylePr w:type="firstCol">
      <w:rPr>
        <w:b/>
        <w:color w:val="ABA8A8" w:themeColor="accent4" w:themeTint="9A" w:themeShade="95"/>
      </w:rPr>
    </w:tblStylePr>
    <w:tblStylePr w:type="lastCol">
      <w:rPr>
        <w:b/>
        <w:color w:val="ABA8A8" w:themeColor="accent4" w:themeTint="9A" w:themeShade="95"/>
      </w:rPr>
    </w:tblStylePr>
    <w:tblStylePr w:type="band1Vert">
      <w:tblPr/>
      <w:tcPr>
        <w:shd w:val="clear" w:color="E3E1E1" w:fill="E3E1E1" w:themeFill="accent4" w:themeFillTint="34"/>
      </w:tcPr>
    </w:tblStylePr>
    <w:tblStylePr w:type="band1Horz">
      <w:rPr>
        <w:color w:val="ABA8A8" w:themeColor="accent4" w:themeTint="9A" w:themeShade="95"/>
        <w:sz w:val="22"/>
      </w:rPr>
      <w:tblPr/>
      <w:tcPr>
        <w:shd w:val="clear" w:color="E3E1E1" w:fill="E3E1E1" w:themeFill="accent4" w:themeFillTint="34"/>
      </w:tcPr>
    </w:tblStylePr>
    <w:tblStylePr w:type="band2Horz">
      <w:rPr>
        <w:color w:val="ABA8A8"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3A3838" w:themeColor="accent5"/>
        <w:left w:val="single" w:sz="4" w:space="0" w:color="3A3838" w:themeColor="accent5"/>
        <w:bottom w:val="single" w:sz="4" w:space="0" w:color="3A3838" w:themeColor="accent5"/>
        <w:right w:val="single" w:sz="4" w:space="0" w:color="3A3838" w:themeColor="accent5"/>
        <w:insideH w:val="single" w:sz="4" w:space="0" w:color="3A3838" w:themeColor="accent5"/>
        <w:insideV w:val="single" w:sz="4" w:space="0" w:color="3A3838" w:themeColor="accent5"/>
      </w:tblBorders>
    </w:tblPr>
    <w:tblStylePr w:type="firstRow">
      <w:rPr>
        <w:b/>
        <w:color w:val="212020" w:themeColor="accent5" w:themeShade="95"/>
      </w:rPr>
      <w:tblPr/>
      <w:tcPr>
        <w:tcBorders>
          <w:bottom w:val="single" w:sz="12" w:space="0" w:color="3A3838" w:themeColor="accent5"/>
        </w:tcBorders>
      </w:tcPr>
    </w:tblStylePr>
    <w:tblStylePr w:type="lastRow">
      <w:rPr>
        <w:b/>
        <w:color w:val="212020" w:themeColor="accent5" w:themeShade="95"/>
      </w:rPr>
    </w:tblStylePr>
    <w:tblStylePr w:type="firstCol">
      <w:rPr>
        <w:b/>
        <w:color w:val="212020" w:themeColor="accent5" w:themeShade="95"/>
      </w:rPr>
    </w:tblStylePr>
    <w:tblStylePr w:type="lastCol">
      <w:rPr>
        <w:b/>
        <w:color w:val="212020" w:themeColor="accent5" w:themeShade="95"/>
      </w:rPr>
    </w:tblStylePr>
    <w:tblStylePr w:type="band1Vert">
      <w:tblPr/>
      <w:tcPr>
        <w:shd w:val="clear" w:color="D7D5D5" w:fill="D7D5D5" w:themeFill="accent5" w:themeFillTint="34"/>
      </w:tcPr>
    </w:tblStylePr>
    <w:tblStylePr w:type="band1Horz">
      <w:rPr>
        <w:color w:val="212020" w:themeColor="accent5" w:themeShade="95"/>
        <w:sz w:val="22"/>
      </w:rPr>
      <w:tblPr/>
      <w:tcPr>
        <w:shd w:val="clear" w:color="D7D5D5" w:fill="D7D5D5" w:themeFill="accent5" w:themeFillTint="34"/>
      </w:tcPr>
    </w:tblStylePr>
    <w:tblStylePr w:type="band2Horz">
      <w:rPr>
        <w:color w:val="212020"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171616" w:themeColor="accent6"/>
        <w:left w:val="single" w:sz="4" w:space="0" w:color="171616" w:themeColor="accent6"/>
        <w:bottom w:val="single" w:sz="4" w:space="0" w:color="171616" w:themeColor="accent6"/>
        <w:right w:val="single" w:sz="4" w:space="0" w:color="171616" w:themeColor="accent6"/>
        <w:insideH w:val="single" w:sz="4" w:space="0" w:color="171616" w:themeColor="accent6"/>
        <w:insideV w:val="single" w:sz="4" w:space="0" w:color="171616" w:themeColor="accent6"/>
      </w:tblBorders>
    </w:tblPr>
    <w:tblStylePr w:type="firstRow">
      <w:rPr>
        <w:b/>
        <w:color w:val="212020" w:themeColor="accent5" w:themeShade="95"/>
      </w:rPr>
      <w:tblPr/>
      <w:tcPr>
        <w:tcBorders>
          <w:bottom w:val="single" w:sz="12" w:space="0" w:color="171616" w:themeColor="accent6"/>
        </w:tcBorders>
      </w:tcPr>
    </w:tblStylePr>
    <w:tblStylePr w:type="lastRow">
      <w:rPr>
        <w:b/>
        <w:color w:val="212020" w:themeColor="accent5" w:themeShade="95"/>
      </w:rPr>
    </w:tblStylePr>
    <w:tblStylePr w:type="firstCol">
      <w:rPr>
        <w:b/>
        <w:color w:val="212020" w:themeColor="accent5" w:themeShade="95"/>
      </w:rPr>
    </w:tblStylePr>
    <w:tblStylePr w:type="lastCol">
      <w:rPr>
        <w:b/>
        <w:color w:val="212020" w:themeColor="accent5" w:themeShade="95"/>
      </w:rPr>
    </w:tblStylePr>
    <w:tblStylePr w:type="band1Vert">
      <w:tblPr/>
      <w:tcPr>
        <w:shd w:val="clear" w:color="D0CECE" w:fill="D0CECE" w:themeFill="accent6" w:themeFillTint="34"/>
      </w:tcPr>
    </w:tblStylePr>
    <w:tblStylePr w:type="band1Horz">
      <w:rPr>
        <w:color w:val="212020" w:themeColor="accent5" w:themeShade="95"/>
        <w:sz w:val="22"/>
      </w:rPr>
      <w:tblPr/>
      <w:tcPr>
        <w:shd w:val="clear" w:color="D0CECE" w:fill="D0CECE" w:themeFill="accent6" w:themeFillTint="34"/>
      </w:tcPr>
    </w:tblStylePr>
    <w:tblStylePr w:type="band2Horz">
      <w:rPr>
        <w:color w:val="212020"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F3F2F2" w:themeColor="accent1" w:themeTint="80"/>
        <w:right w:val="single" w:sz="4" w:space="0" w:color="F3F2F2" w:themeColor="accent1" w:themeTint="80"/>
        <w:insideH w:val="single" w:sz="4" w:space="0" w:color="F3F2F2" w:themeColor="accent1" w:themeTint="80"/>
        <w:insideV w:val="single" w:sz="4" w:space="0" w:color="F3F2F2" w:themeColor="accent1" w:themeTint="80"/>
      </w:tblBorders>
    </w:tblPr>
    <w:tblStylePr w:type="firstRow">
      <w:rPr>
        <w:b/>
        <w:color w:val="F3F2F2" w:themeColor="accent1" w:themeTint="80" w:themeShade="95"/>
        <w:sz w:val="22"/>
      </w:rPr>
      <w:tblPr/>
      <w:tcPr>
        <w:tcBorders>
          <w:top w:val="none" w:sz="4" w:space="0" w:color="000000"/>
          <w:left w:val="none" w:sz="4" w:space="0" w:color="000000"/>
          <w:bottom w:val="single" w:sz="4" w:space="0" w:color="E7E6E6" w:themeColor="accent1"/>
          <w:right w:val="none" w:sz="4" w:space="0" w:color="000000"/>
        </w:tcBorders>
        <w:shd w:val="clear" w:color="FFFFFF" w:fill="FFFFFF" w:themeFill="light1"/>
      </w:tcPr>
    </w:tblStylePr>
    <w:tblStylePr w:type="lastRow">
      <w:rPr>
        <w:b/>
        <w:color w:val="F3F2F2" w:themeColor="accent1" w:themeTint="80" w:themeShade="95"/>
        <w:sz w:val="22"/>
      </w:rPr>
      <w:tblPr/>
      <w:tcPr>
        <w:tcBorders>
          <w:top w:val="single" w:sz="4" w:space="0" w:color="E7E6E6"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3F2F2" w:themeColor="accent1" w:themeTint="80" w:themeShade="95"/>
        <w:sz w:val="22"/>
      </w:rPr>
      <w:tblPr/>
      <w:tcPr>
        <w:tcBorders>
          <w:top w:val="none" w:sz="4" w:space="0" w:color="000000"/>
          <w:left w:val="none" w:sz="4" w:space="0" w:color="000000"/>
          <w:bottom w:val="none" w:sz="4" w:space="0" w:color="000000"/>
          <w:right w:val="single" w:sz="4" w:space="0" w:color="E7E6E6" w:themeColor="accent1"/>
        </w:tcBorders>
        <w:shd w:val="clear" w:color="FFFFFF" w:fill="auto"/>
      </w:tcPr>
    </w:tblStylePr>
    <w:tblStylePr w:type="lastCol">
      <w:rPr>
        <w:i/>
        <w:color w:val="F3F2F2" w:themeColor="accent1" w:themeTint="80" w:themeShade="95"/>
        <w:sz w:val="22"/>
      </w:rPr>
      <w:tblPr/>
      <w:tcPr>
        <w:tcBorders>
          <w:top w:val="none" w:sz="4" w:space="0" w:color="000000"/>
          <w:left w:val="single" w:sz="4" w:space="0" w:color="E7E6E6" w:themeColor="accent1"/>
          <w:bottom w:val="none" w:sz="4" w:space="0" w:color="000000"/>
          <w:right w:val="none" w:sz="4" w:space="0" w:color="000000"/>
        </w:tcBorders>
        <w:shd w:val="clear" w:color="FFFFFF" w:fill="auto"/>
      </w:tcPr>
    </w:tblStylePr>
    <w:tblStylePr w:type="band1Vert">
      <w:tblPr/>
      <w:tcPr>
        <w:shd w:val="clear" w:color="FAF9F9" w:fill="FAF9F9" w:themeFill="accent1" w:themeFillTint="34"/>
      </w:tcPr>
    </w:tblStylePr>
    <w:tblStylePr w:type="band1Horz">
      <w:rPr>
        <w:color w:val="F3F2F2" w:themeColor="accent1" w:themeTint="80" w:themeShade="95"/>
        <w:sz w:val="22"/>
      </w:rPr>
      <w:tblPr/>
      <w:tcPr>
        <w:shd w:val="clear" w:color="FAF9F9" w:fill="FAF9F9" w:themeFill="accent1" w:themeFillTint="34"/>
      </w:tcPr>
    </w:tblStylePr>
    <w:tblStylePr w:type="band2Horz">
      <w:rPr>
        <w:color w:val="F3F2F2"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CFCDCD" w:themeColor="accent2" w:themeTint="97"/>
        <w:right w:val="single" w:sz="4" w:space="0" w:color="CFCDCD" w:themeColor="accent2" w:themeTint="97"/>
        <w:insideH w:val="single" w:sz="4" w:space="0" w:color="CFCDCD" w:themeColor="accent2" w:themeTint="97"/>
        <w:insideV w:val="single" w:sz="4" w:space="0" w:color="CFCDCD" w:themeColor="accent2" w:themeTint="97"/>
      </w:tblBorders>
    </w:tblPr>
    <w:tblStylePr w:type="firstRow">
      <w:rPr>
        <w:b/>
        <w:color w:val="CFCDCD" w:themeColor="accent2" w:themeTint="97" w:themeShade="95"/>
        <w:sz w:val="22"/>
      </w:rPr>
      <w:tblPr/>
      <w:tcPr>
        <w:tcBorders>
          <w:top w:val="none" w:sz="4" w:space="0" w:color="000000"/>
          <w:left w:val="none" w:sz="4" w:space="0" w:color="000000"/>
          <w:bottom w:val="single" w:sz="4" w:space="0" w:color="AEABAB" w:themeColor="accent2"/>
          <w:right w:val="none" w:sz="4" w:space="0" w:color="000000"/>
        </w:tcBorders>
        <w:shd w:val="clear" w:color="FFFFFF" w:fill="FFFFFF" w:themeFill="light1"/>
      </w:tcPr>
    </w:tblStylePr>
    <w:tblStylePr w:type="lastRow">
      <w:rPr>
        <w:b/>
        <w:color w:val="CFCDCD" w:themeColor="accent2" w:themeTint="97" w:themeShade="95"/>
        <w:sz w:val="22"/>
      </w:rPr>
      <w:tblPr/>
      <w:tcPr>
        <w:tcBorders>
          <w:top w:val="single" w:sz="4" w:space="0" w:color="AEABAB"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FCDCD" w:themeColor="accent2" w:themeTint="97" w:themeShade="95"/>
        <w:sz w:val="22"/>
      </w:rPr>
      <w:tblPr/>
      <w:tcPr>
        <w:tcBorders>
          <w:top w:val="none" w:sz="4" w:space="0" w:color="000000"/>
          <w:left w:val="none" w:sz="4" w:space="0" w:color="000000"/>
          <w:bottom w:val="none" w:sz="4" w:space="0" w:color="000000"/>
          <w:right w:val="single" w:sz="4" w:space="0" w:color="AEABAB" w:themeColor="accent2"/>
        </w:tcBorders>
        <w:shd w:val="clear" w:color="FFFFFF" w:fill="auto"/>
      </w:tcPr>
    </w:tblStylePr>
    <w:tblStylePr w:type="lastCol">
      <w:rPr>
        <w:i/>
        <w:color w:val="CFCDCD" w:themeColor="accent2" w:themeTint="97" w:themeShade="95"/>
        <w:sz w:val="22"/>
      </w:rPr>
      <w:tblPr/>
      <w:tcPr>
        <w:tcBorders>
          <w:top w:val="none" w:sz="4" w:space="0" w:color="000000"/>
          <w:left w:val="single" w:sz="4" w:space="0" w:color="AEABAB" w:themeColor="accent2"/>
          <w:bottom w:val="none" w:sz="4" w:space="0" w:color="000000"/>
          <w:right w:val="none" w:sz="4" w:space="0" w:color="000000"/>
        </w:tcBorders>
        <w:shd w:val="clear" w:color="FFFFFF" w:fill="auto"/>
      </w:tcPr>
    </w:tblStylePr>
    <w:tblStylePr w:type="band1Vert">
      <w:tblPr/>
      <w:tcPr>
        <w:shd w:val="clear" w:color="EFEEEE" w:fill="EFEEEE" w:themeFill="accent2" w:themeFillTint="32"/>
      </w:tcPr>
    </w:tblStylePr>
    <w:tblStylePr w:type="band1Horz">
      <w:rPr>
        <w:color w:val="CFCDCD" w:themeColor="accent2" w:themeTint="97" w:themeShade="95"/>
        <w:sz w:val="22"/>
      </w:rPr>
      <w:tblPr/>
      <w:tcPr>
        <w:shd w:val="clear" w:color="EFEEEE" w:fill="EFEEEE" w:themeFill="accent2" w:themeFillTint="32"/>
      </w:tcPr>
    </w:tblStylePr>
    <w:tblStylePr w:type="band2Horz">
      <w:rPr>
        <w:color w:val="CFCDCD"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757070" w:themeColor="accent3" w:themeTint="FE"/>
        <w:right w:val="single" w:sz="4" w:space="0" w:color="757070" w:themeColor="accent3" w:themeTint="FE"/>
        <w:insideH w:val="single" w:sz="4" w:space="0" w:color="757070" w:themeColor="accent3" w:themeTint="FE"/>
        <w:insideV w:val="single" w:sz="4" w:space="0" w:color="757070" w:themeColor="accent3" w:themeTint="FE"/>
      </w:tblBorders>
    </w:tblPr>
    <w:tblStylePr w:type="firstRow">
      <w:rPr>
        <w:b/>
        <w:color w:val="757070" w:themeColor="accent3" w:themeTint="FE" w:themeShade="95"/>
        <w:sz w:val="22"/>
      </w:rPr>
      <w:tblPr/>
      <w:tcPr>
        <w:tcBorders>
          <w:top w:val="none" w:sz="4" w:space="0" w:color="000000"/>
          <w:left w:val="none" w:sz="4" w:space="0" w:color="000000"/>
          <w:bottom w:val="single" w:sz="4" w:space="0" w:color="757070" w:themeColor="accent3"/>
          <w:right w:val="none" w:sz="4" w:space="0" w:color="000000"/>
        </w:tcBorders>
        <w:shd w:val="clear" w:color="FFFFFF" w:fill="FFFFFF" w:themeFill="light1"/>
      </w:tcPr>
    </w:tblStylePr>
    <w:tblStylePr w:type="lastRow">
      <w:rPr>
        <w:b/>
        <w:color w:val="757070" w:themeColor="accent3" w:themeTint="FE" w:themeShade="95"/>
        <w:sz w:val="22"/>
      </w:rPr>
      <w:tblPr/>
      <w:tcPr>
        <w:tcBorders>
          <w:top w:val="single" w:sz="4" w:space="0" w:color="757070"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57070" w:themeColor="accent3" w:themeTint="FE" w:themeShade="95"/>
        <w:sz w:val="22"/>
      </w:rPr>
      <w:tblPr/>
      <w:tcPr>
        <w:tcBorders>
          <w:top w:val="none" w:sz="4" w:space="0" w:color="000000"/>
          <w:left w:val="none" w:sz="4" w:space="0" w:color="000000"/>
          <w:bottom w:val="none" w:sz="4" w:space="0" w:color="000000"/>
          <w:right w:val="single" w:sz="4" w:space="0" w:color="757070" w:themeColor="accent3"/>
        </w:tcBorders>
        <w:shd w:val="clear" w:color="FFFFFF" w:fill="auto"/>
      </w:tcPr>
    </w:tblStylePr>
    <w:tblStylePr w:type="lastCol">
      <w:rPr>
        <w:i/>
        <w:color w:val="757070" w:themeColor="accent3" w:themeTint="FE" w:themeShade="95"/>
        <w:sz w:val="22"/>
      </w:rPr>
      <w:tblPr/>
      <w:tcPr>
        <w:tcBorders>
          <w:top w:val="none" w:sz="4" w:space="0" w:color="000000"/>
          <w:left w:val="single" w:sz="4" w:space="0" w:color="757070" w:themeColor="accent3"/>
          <w:bottom w:val="none" w:sz="4" w:space="0" w:color="000000"/>
          <w:right w:val="none" w:sz="4" w:space="0" w:color="000000"/>
        </w:tcBorders>
        <w:shd w:val="clear" w:color="FFFFFF" w:fill="auto"/>
      </w:tcPr>
    </w:tblStylePr>
    <w:tblStylePr w:type="band1Vert">
      <w:tblPr/>
      <w:tcPr>
        <w:shd w:val="clear" w:color="E3E1E1" w:fill="E3E1E1" w:themeFill="accent3" w:themeFillTint="34"/>
      </w:tcPr>
    </w:tblStylePr>
    <w:tblStylePr w:type="band1Horz">
      <w:rPr>
        <w:color w:val="757070" w:themeColor="accent3" w:themeTint="FE" w:themeShade="95"/>
        <w:sz w:val="22"/>
      </w:rPr>
      <w:tblPr/>
      <w:tcPr>
        <w:shd w:val="clear" w:color="E3E1E1" w:fill="E3E1E1" w:themeFill="accent3" w:themeFillTint="34"/>
      </w:tcPr>
    </w:tblStylePr>
    <w:tblStylePr w:type="band2Horz">
      <w:rPr>
        <w:color w:val="757070"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ABA8A8" w:themeColor="accent4" w:themeTint="9A"/>
        <w:right w:val="single" w:sz="4" w:space="0" w:color="ABA8A8" w:themeColor="accent4" w:themeTint="9A"/>
        <w:insideH w:val="single" w:sz="4" w:space="0" w:color="ABA8A8" w:themeColor="accent4" w:themeTint="9A"/>
        <w:insideV w:val="single" w:sz="4" w:space="0" w:color="ABA8A8" w:themeColor="accent4" w:themeTint="9A"/>
      </w:tblBorders>
    </w:tblPr>
    <w:tblStylePr w:type="firstRow">
      <w:rPr>
        <w:b/>
        <w:color w:val="ABA8A8" w:themeColor="accent4" w:themeTint="9A" w:themeShade="95"/>
        <w:sz w:val="22"/>
      </w:rPr>
      <w:tblPr/>
      <w:tcPr>
        <w:tcBorders>
          <w:top w:val="none" w:sz="4" w:space="0" w:color="000000"/>
          <w:left w:val="none" w:sz="4" w:space="0" w:color="000000"/>
          <w:bottom w:val="single" w:sz="4" w:space="0" w:color="757070" w:themeColor="accent4"/>
          <w:right w:val="none" w:sz="4" w:space="0" w:color="000000"/>
        </w:tcBorders>
        <w:shd w:val="clear" w:color="FFFFFF" w:fill="FFFFFF" w:themeFill="light1"/>
      </w:tcPr>
    </w:tblStylePr>
    <w:tblStylePr w:type="lastRow">
      <w:rPr>
        <w:b/>
        <w:color w:val="ABA8A8" w:themeColor="accent4" w:themeTint="9A" w:themeShade="95"/>
        <w:sz w:val="22"/>
      </w:rPr>
      <w:tblPr/>
      <w:tcPr>
        <w:tcBorders>
          <w:top w:val="single" w:sz="4" w:space="0" w:color="75707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BA8A8" w:themeColor="accent4" w:themeTint="9A" w:themeShade="95"/>
        <w:sz w:val="22"/>
      </w:rPr>
      <w:tblPr/>
      <w:tcPr>
        <w:tcBorders>
          <w:top w:val="none" w:sz="4" w:space="0" w:color="000000"/>
          <w:left w:val="none" w:sz="4" w:space="0" w:color="000000"/>
          <w:bottom w:val="none" w:sz="4" w:space="0" w:color="000000"/>
          <w:right w:val="single" w:sz="4" w:space="0" w:color="757070" w:themeColor="accent4"/>
        </w:tcBorders>
        <w:shd w:val="clear" w:color="FFFFFF" w:fill="auto"/>
      </w:tcPr>
    </w:tblStylePr>
    <w:tblStylePr w:type="lastCol">
      <w:rPr>
        <w:i/>
        <w:color w:val="ABA8A8" w:themeColor="accent4" w:themeTint="9A" w:themeShade="95"/>
        <w:sz w:val="22"/>
      </w:rPr>
      <w:tblPr/>
      <w:tcPr>
        <w:tcBorders>
          <w:top w:val="none" w:sz="4" w:space="0" w:color="000000"/>
          <w:left w:val="single" w:sz="4" w:space="0" w:color="757070" w:themeColor="accent4"/>
          <w:bottom w:val="none" w:sz="4" w:space="0" w:color="000000"/>
          <w:right w:val="none" w:sz="4" w:space="0" w:color="000000"/>
        </w:tcBorders>
        <w:shd w:val="clear" w:color="FFFFFF" w:fill="auto"/>
      </w:tcPr>
    </w:tblStylePr>
    <w:tblStylePr w:type="band1Vert">
      <w:tblPr/>
      <w:tcPr>
        <w:shd w:val="clear" w:color="E3E1E1" w:fill="E3E1E1" w:themeFill="accent4" w:themeFillTint="34"/>
      </w:tcPr>
    </w:tblStylePr>
    <w:tblStylePr w:type="band1Horz">
      <w:rPr>
        <w:color w:val="ABA8A8" w:themeColor="accent4" w:themeTint="9A" w:themeShade="95"/>
        <w:sz w:val="22"/>
      </w:rPr>
      <w:tblPr/>
      <w:tcPr>
        <w:shd w:val="clear" w:color="E3E1E1" w:fill="E3E1E1" w:themeFill="accent4" w:themeFillTint="34"/>
      </w:tcPr>
    </w:tblStylePr>
    <w:tblStylePr w:type="band2Horz">
      <w:rPr>
        <w:color w:val="ABA8A8"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18D8D" w:themeColor="accent5" w:themeTint="90"/>
        <w:right w:val="single" w:sz="4" w:space="0" w:color="918D8D" w:themeColor="accent5" w:themeTint="90"/>
        <w:insideH w:val="single" w:sz="4" w:space="0" w:color="918D8D" w:themeColor="accent5" w:themeTint="90"/>
        <w:insideV w:val="single" w:sz="4" w:space="0" w:color="918D8D" w:themeColor="accent5" w:themeTint="90"/>
      </w:tblBorders>
    </w:tblPr>
    <w:tblStylePr w:type="firstRow">
      <w:rPr>
        <w:b/>
        <w:color w:val="212020" w:themeColor="accent5" w:themeShade="95"/>
        <w:sz w:val="22"/>
      </w:rPr>
      <w:tblPr/>
      <w:tcPr>
        <w:tcBorders>
          <w:top w:val="none" w:sz="4" w:space="0" w:color="000000"/>
          <w:left w:val="none" w:sz="4" w:space="0" w:color="000000"/>
          <w:bottom w:val="single" w:sz="4" w:space="0" w:color="3A3838" w:themeColor="accent5"/>
          <w:right w:val="none" w:sz="4" w:space="0" w:color="000000"/>
        </w:tcBorders>
        <w:shd w:val="clear" w:color="FFFFFF" w:fill="FFFFFF" w:themeFill="light1"/>
      </w:tcPr>
    </w:tblStylePr>
    <w:tblStylePr w:type="lastRow">
      <w:rPr>
        <w:b/>
        <w:color w:val="212020" w:themeColor="accent5" w:themeShade="95"/>
        <w:sz w:val="22"/>
      </w:rPr>
      <w:tblPr/>
      <w:tcPr>
        <w:tcBorders>
          <w:top w:val="single" w:sz="4" w:space="0" w:color="3A3838"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12020" w:themeColor="accent5" w:themeShade="95"/>
        <w:sz w:val="22"/>
      </w:rPr>
      <w:tblPr/>
      <w:tcPr>
        <w:tcBorders>
          <w:top w:val="none" w:sz="4" w:space="0" w:color="000000"/>
          <w:left w:val="none" w:sz="4" w:space="0" w:color="000000"/>
          <w:bottom w:val="none" w:sz="4" w:space="0" w:color="000000"/>
          <w:right w:val="single" w:sz="4" w:space="0" w:color="3A3838" w:themeColor="accent5"/>
        </w:tcBorders>
        <w:shd w:val="clear" w:color="FFFFFF" w:fill="auto"/>
      </w:tcPr>
    </w:tblStylePr>
    <w:tblStylePr w:type="lastCol">
      <w:rPr>
        <w:i/>
        <w:color w:val="212020" w:themeColor="accent5" w:themeShade="95"/>
        <w:sz w:val="22"/>
      </w:rPr>
      <w:tblPr/>
      <w:tcPr>
        <w:tcBorders>
          <w:top w:val="none" w:sz="4" w:space="0" w:color="000000"/>
          <w:left w:val="single" w:sz="4" w:space="0" w:color="3A3838" w:themeColor="accent5"/>
          <w:bottom w:val="none" w:sz="4" w:space="0" w:color="000000"/>
          <w:right w:val="none" w:sz="4" w:space="0" w:color="000000"/>
        </w:tcBorders>
        <w:shd w:val="clear" w:color="FFFFFF" w:fill="auto"/>
      </w:tcPr>
    </w:tblStylePr>
    <w:tblStylePr w:type="band1Vert">
      <w:tblPr/>
      <w:tcPr>
        <w:shd w:val="clear" w:color="D7D5D5" w:fill="D7D5D5" w:themeFill="accent5" w:themeFillTint="34"/>
      </w:tcPr>
    </w:tblStylePr>
    <w:tblStylePr w:type="band1Horz">
      <w:rPr>
        <w:color w:val="212020" w:themeColor="accent5" w:themeShade="95"/>
        <w:sz w:val="22"/>
      </w:rPr>
      <w:tblPr/>
      <w:tcPr>
        <w:shd w:val="clear" w:color="D7D5D5" w:fill="D7D5D5" w:themeFill="accent5" w:themeFillTint="34"/>
      </w:tcPr>
    </w:tblStylePr>
    <w:tblStylePr w:type="band2Horz">
      <w:rPr>
        <w:color w:val="212020"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7E7979" w:themeColor="accent6" w:themeTint="90"/>
        <w:right w:val="single" w:sz="4" w:space="0" w:color="7E7979" w:themeColor="accent6" w:themeTint="90"/>
        <w:insideH w:val="single" w:sz="4" w:space="0" w:color="7E7979" w:themeColor="accent6" w:themeTint="90"/>
        <w:insideV w:val="single" w:sz="4" w:space="0" w:color="7E7979" w:themeColor="accent6" w:themeTint="90"/>
      </w:tblBorders>
    </w:tblPr>
    <w:tblStylePr w:type="firstRow">
      <w:rPr>
        <w:b/>
        <w:color w:val="0D0C0C" w:themeColor="accent6" w:themeShade="95"/>
        <w:sz w:val="22"/>
      </w:rPr>
      <w:tblPr/>
      <w:tcPr>
        <w:tcBorders>
          <w:top w:val="none" w:sz="4" w:space="0" w:color="000000"/>
          <w:left w:val="none" w:sz="4" w:space="0" w:color="000000"/>
          <w:bottom w:val="single" w:sz="4" w:space="0" w:color="171616" w:themeColor="accent6"/>
          <w:right w:val="none" w:sz="4" w:space="0" w:color="000000"/>
        </w:tcBorders>
        <w:shd w:val="clear" w:color="FFFFFF" w:fill="FFFFFF" w:themeFill="light1"/>
      </w:tcPr>
    </w:tblStylePr>
    <w:tblStylePr w:type="lastRow">
      <w:rPr>
        <w:b/>
        <w:color w:val="0D0C0C" w:themeColor="accent6" w:themeShade="95"/>
        <w:sz w:val="22"/>
      </w:rPr>
      <w:tblPr/>
      <w:tcPr>
        <w:tcBorders>
          <w:top w:val="single" w:sz="4" w:space="0" w:color="17161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0D0C0C" w:themeColor="accent6" w:themeShade="95"/>
        <w:sz w:val="22"/>
      </w:rPr>
      <w:tblPr/>
      <w:tcPr>
        <w:tcBorders>
          <w:top w:val="none" w:sz="4" w:space="0" w:color="000000"/>
          <w:left w:val="none" w:sz="4" w:space="0" w:color="000000"/>
          <w:bottom w:val="none" w:sz="4" w:space="0" w:color="000000"/>
          <w:right w:val="single" w:sz="4" w:space="0" w:color="171616" w:themeColor="accent6"/>
        </w:tcBorders>
        <w:shd w:val="clear" w:color="FFFFFF" w:fill="auto"/>
      </w:tcPr>
    </w:tblStylePr>
    <w:tblStylePr w:type="lastCol">
      <w:rPr>
        <w:i/>
        <w:color w:val="0D0C0C" w:themeColor="accent6" w:themeShade="95"/>
        <w:sz w:val="22"/>
      </w:rPr>
      <w:tblPr/>
      <w:tcPr>
        <w:tcBorders>
          <w:top w:val="none" w:sz="4" w:space="0" w:color="000000"/>
          <w:left w:val="single" w:sz="4" w:space="0" w:color="171616" w:themeColor="accent6"/>
          <w:bottom w:val="none" w:sz="4" w:space="0" w:color="000000"/>
          <w:right w:val="none" w:sz="4" w:space="0" w:color="000000"/>
        </w:tcBorders>
        <w:shd w:val="clear" w:color="FFFFFF" w:fill="auto"/>
      </w:tcPr>
    </w:tblStylePr>
    <w:tblStylePr w:type="band1Vert">
      <w:tblPr/>
      <w:tcPr>
        <w:shd w:val="clear" w:color="D0CECE" w:fill="D0CECE" w:themeFill="accent6" w:themeFillTint="34"/>
      </w:tcPr>
    </w:tblStylePr>
    <w:tblStylePr w:type="band1Horz">
      <w:rPr>
        <w:color w:val="0D0C0C" w:themeColor="accent6" w:themeShade="95"/>
        <w:sz w:val="22"/>
      </w:rPr>
      <w:tblPr/>
      <w:tcPr>
        <w:shd w:val="clear" w:color="D0CECE" w:fill="D0CECE" w:themeFill="accent6" w:themeFillTint="34"/>
      </w:tcPr>
    </w:tblStylePr>
    <w:tblStylePr w:type="band2Horz">
      <w:rPr>
        <w:color w:val="0D0C0C"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E7E6E6" w:themeColor="accent1"/>
          <w:right w:val="none" w:sz="4" w:space="0" w:color="000000"/>
        </w:tcBorders>
      </w:tcPr>
    </w:tblStylePr>
    <w:tblStylePr w:type="lastRow">
      <w:rPr>
        <w:b/>
      </w:rPr>
      <w:tblPr/>
      <w:tcPr>
        <w:tcBorders>
          <w:top w:val="single" w:sz="4" w:space="0" w:color="E7E6E6"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9F8F8" w:fill="F9F8F8" w:themeFill="accent1" w:themeFillTint="40"/>
      </w:tcPr>
    </w:tblStylePr>
    <w:tblStylePr w:type="band1Horz">
      <w:tblPr/>
      <w:tcPr>
        <w:shd w:val="clear" w:color="F9F8F8" w:fill="F9F8F8"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AEABAB" w:themeColor="accent2"/>
          <w:right w:val="none" w:sz="4" w:space="0" w:color="000000"/>
        </w:tcBorders>
      </w:tcPr>
    </w:tblStylePr>
    <w:tblStylePr w:type="lastRow">
      <w:rPr>
        <w:b/>
      </w:rPr>
      <w:tblPr/>
      <w:tcPr>
        <w:tcBorders>
          <w:top w:val="single" w:sz="4" w:space="0" w:color="AEABAB"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AE9E9" w:fill="EAE9E9" w:themeFill="accent2" w:themeFillTint="40"/>
      </w:tcPr>
    </w:tblStylePr>
    <w:tblStylePr w:type="band1Horz">
      <w:tblPr/>
      <w:tcPr>
        <w:shd w:val="clear" w:color="EAE9E9" w:fill="EAE9E9"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757070" w:themeColor="accent3"/>
          <w:right w:val="none" w:sz="4" w:space="0" w:color="000000"/>
        </w:tcBorders>
      </w:tcPr>
    </w:tblStylePr>
    <w:tblStylePr w:type="lastRow">
      <w:rPr>
        <w:b/>
      </w:rPr>
      <w:tblPr/>
      <w:tcPr>
        <w:tcBorders>
          <w:top w:val="single" w:sz="4" w:space="0" w:color="757070"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CDADA" w:fill="DCDADA" w:themeFill="accent3" w:themeFillTint="40"/>
      </w:tcPr>
    </w:tblStylePr>
    <w:tblStylePr w:type="band1Horz">
      <w:tblPr/>
      <w:tcPr>
        <w:shd w:val="clear" w:color="DCDADA" w:fill="DCDADA"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757070" w:themeColor="accent4"/>
          <w:right w:val="none" w:sz="4" w:space="0" w:color="000000"/>
        </w:tcBorders>
      </w:tcPr>
    </w:tblStylePr>
    <w:tblStylePr w:type="lastRow">
      <w:rPr>
        <w:b/>
      </w:rPr>
      <w:tblPr/>
      <w:tcPr>
        <w:tcBorders>
          <w:top w:val="single" w:sz="4" w:space="0" w:color="75707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CDADA" w:fill="DCDADA" w:themeFill="accent4" w:themeFillTint="40"/>
      </w:tcPr>
    </w:tblStylePr>
    <w:tblStylePr w:type="band1Horz">
      <w:tblPr/>
      <w:tcPr>
        <w:shd w:val="clear" w:color="DCDADA" w:fill="DCDADA"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3A3838" w:themeColor="accent5"/>
          <w:right w:val="none" w:sz="4" w:space="0" w:color="000000"/>
        </w:tcBorders>
      </w:tcPr>
    </w:tblStylePr>
    <w:tblStylePr w:type="lastRow">
      <w:rPr>
        <w:b/>
      </w:rPr>
      <w:tblPr/>
      <w:tcPr>
        <w:tcBorders>
          <w:top w:val="single" w:sz="4" w:space="0" w:color="3A3838"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CECCCC" w:fill="CECCCC" w:themeFill="accent5" w:themeFillTint="40"/>
      </w:tcPr>
    </w:tblStylePr>
    <w:tblStylePr w:type="band1Horz">
      <w:tblPr/>
      <w:tcPr>
        <w:shd w:val="clear" w:color="CECCCC" w:fill="CECCCC"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171616" w:themeColor="accent6"/>
          <w:right w:val="none" w:sz="4" w:space="0" w:color="000000"/>
        </w:tcBorders>
      </w:tcPr>
    </w:tblStylePr>
    <w:tblStylePr w:type="lastRow">
      <w:rPr>
        <w:b/>
      </w:rPr>
      <w:tblPr/>
      <w:tcPr>
        <w:tcBorders>
          <w:top w:val="single" w:sz="4" w:space="0" w:color="17161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C5C3C3" w:fill="C5C3C3" w:themeFill="accent6" w:themeFillTint="40"/>
      </w:tcPr>
    </w:tblStylePr>
    <w:tblStylePr w:type="band1Horz">
      <w:tblPr/>
      <w:tcPr>
        <w:shd w:val="clear" w:color="C5C3C3" w:fill="C5C3C3"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F1F0F0" w:themeColor="accent1" w:themeTint="90"/>
        <w:bottom w:val="single" w:sz="4" w:space="0" w:color="F1F0F0" w:themeColor="accent1" w:themeTint="90"/>
        <w:insideH w:val="single" w:sz="4" w:space="0" w:color="F1F0F0" w:themeColor="accent1" w:themeTint="90"/>
      </w:tblBorders>
    </w:tblPr>
    <w:tblStylePr w:type="firstRow">
      <w:rPr>
        <w:b/>
        <w:sz w:val="22"/>
      </w:rPr>
      <w:tblPr/>
      <w:tcPr>
        <w:tcBorders>
          <w:top w:val="single" w:sz="4" w:space="0" w:color="E7E6E6" w:themeColor="accent1"/>
          <w:left w:val="none" w:sz="4" w:space="0" w:color="000000"/>
          <w:bottom w:val="single" w:sz="4" w:space="0" w:color="E7E6E6" w:themeColor="accent1"/>
          <w:right w:val="none" w:sz="4" w:space="0" w:color="000000"/>
        </w:tcBorders>
      </w:tcPr>
    </w:tblStylePr>
    <w:tblStylePr w:type="lastRow">
      <w:rPr>
        <w:b/>
        <w:sz w:val="22"/>
      </w:rPr>
      <w:tblPr/>
      <w:tcPr>
        <w:tcBorders>
          <w:top w:val="single" w:sz="4" w:space="0" w:color="E7E6E6" w:themeColor="accent1"/>
          <w:left w:val="none" w:sz="4" w:space="0" w:color="000000"/>
          <w:bottom w:val="single" w:sz="4" w:space="0" w:color="E7E6E6"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9F8F8" w:fill="F9F8F8" w:themeFill="accent1" w:themeFillTint="40"/>
      </w:tcPr>
    </w:tblStylePr>
    <w:tblStylePr w:type="band1Horz">
      <w:rPr>
        <w:sz w:val="22"/>
      </w:rPr>
      <w:tblPr/>
      <w:tcPr>
        <w:shd w:val="clear" w:color="F9F8F8" w:fill="F9F8F8"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1CFCF" w:themeColor="accent2" w:themeTint="90"/>
        <w:bottom w:val="single" w:sz="4" w:space="0" w:color="D1CFCF" w:themeColor="accent2" w:themeTint="90"/>
        <w:insideH w:val="single" w:sz="4" w:space="0" w:color="D1CFCF" w:themeColor="accent2" w:themeTint="90"/>
      </w:tblBorders>
    </w:tblPr>
    <w:tblStylePr w:type="firstRow">
      <w:rPr>
        <w:b/>
        <w:sz w:val="22"/>
      </w:rPr>
      <w:tblPr/>
      <w:tcPr>
        <w:tcBorders>
          <w:top w:val="single" w:sz="4" w:space="0" w:color="AEABAB" w:themeColor="accent2"/>
          <w:left w:val="none" w:sz="4" w:space="0" w:color="000000"/>
          <w:bottom w:val="single" w:sz="4" w:space="0" w:color="AEABAB" w:themeColor="accent2"/>
          <w:right w:val="none" w:sz="4" w:space="0" w:color="000000"/>
        </w:tcBorders>
      </w:tcPr>
    </w:tblStylePr>
    <w:tblStylePr w:type="lastRow">
      <w:rPr>
        <w:b/>
        <w:sz w:val="22"/>
      </w:rPr>
      <w:tblPr/>
      <w:tcPr>
        <w:tcBorders>
          <w:top w:val="single" w:sz="4" w:space="0" w:color="AEABAB" w:themeColor="accent2"/>
          <w:left w:val="none" w:sz="4" w:space="0" w:color="000000"/>
          <w:bottom w:val="single" w:sz="4" w:space="0" w:color="AEABAB"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EAE9E9" w:fill="EAE9E9" w:themeFill="accent2" w:themeFillTint="40"/>
      </w:tcPr>
    </w:tblStylePr>
    <w:tblStylePr w:type="band1Horz">
      <w:rPr>
        <w:sz w:val="22"/>
      </w:rPr>
      <w:tblPr/>
      <w:tcPr>
        <w:shd w:val="clear" w:color="EAE9E9" w:fill="EAE9E9"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B1ADAD" w:themeColor="accent3" w:themeTint="90"/>
        <w:bottom w:val="single" w:sz="4" w:space="0" w:color="B1ADAD" w:themeColor="accent3" w:themeTint="90"/>
        <w:insideH w:val="single" w:sz="4" w:space="0" w:color="B1ADAD" w:themeColor="accent3" w:themeTint="90"/>
      </w:tblBorders>
    </w:tblPr>
    <w:tblStylePr w:type="firstRow">
      <w:rPr>
        <w:b/>
        <w:sz w:val="22"/>
      </w:rPr>
      <w:tblPr/>
      <w:tcPr>
        <w:tcBorders>
          <w:top w:val="single" w:sz="4" w:space="0" w:color="757070" w:themeColor="accent3"/>
          <w:left w:val="none" w:sz="4" w:space="0" w:color="000000"/>
          <w:bottom w:val="single" w:sz="4" w:space="0" w:color="757070" w:themeColor="accent3"/>
          <w:right w:val="none" w:sz="4" w:space="0" w:color="000000"/>
        </w:tcBorders>
      </w:tcPr>
    </w:tblStylePr>
    <w:tblStylePr w:type="lastRow">
      <w:rPr>
        <w:b/>
        <w:sz w:val="22"/>
      </w:rPr>
      <w:tblPr/>
      <w:tcPr>
        <w:tcBorders>
          <w:top w:val="single" w:sz="4" w:space="0" w:color="757070" w:themeColor="accent3"/>
          <w:left w:val="none" w:sz="4" w:space="0" w:color="000000"/>
          <w:bottom w:val="single" w:sz="4" w:space="0" w:color="757070"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DCDADA" w:fill="DCDADA" w:themeFill="accent3" w:themeFillTint="40"/>
      </w:tcPr>
    </w:tblStylePr>
    <w:tblStylePr w:type="band1Horz">
      <w:rPr>
        <w:sz w:val="22"/>
      </w:rPr>
      <w:tblPr/>
      <w:tcPr>
        <w:shd w:val="clear" w:color="DCDADA" w:fill="DCDADA"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1ADAD" w:themeColor="accent4" w:themeTint="90"/>
        <w:bottom w:val="single" w:sz="4" w:space="0" w:color="B1ADAD" w:themeColor="accent4" w:themeTint="90"/>
        <w:insideH w:val="single" w:sz="4" w:space="0" w:color="B1ADAD" w:themeColor="accent4" w:themeTint="90"/>
      </w:tblBorders>
    </w:tblPr>
    <w:tblStylePr w:type="firstRow">
      <w:rPr>
        <w:b/>
        <w:sz w:val="22"/>
      </w:rPr>
      <w:tblPr/>
      <w:tcPr>
        <w:tcBorders>
          <w:top w:val="single" w:sz="4" w:space="0" w:color="757070" w:themeColor="accent4"/>
          <w:left w:val="none" w:sz="4" w:space="0" w:color="000000"/>
          <w:bottom w:val="single" w:sz="4" w:space="0" w:color="757070" w:themeColor="accent4"/>
          <w:right w:val="none" w:sz="4" w:space="0" w:color="000000"/>
        </w:tcBorders>
      </w:tcPr>
    </w:tblStylePr>
    <w:tblStylePr w:type="lastRow">
      <w:rPr>
        <w:b/>
        <w:sz w:val="22"/>
      </w:rPr>
      <w:tblPr/>
      <w:tcPr>
        <w:tcBorders>
          <w:top w:val="single" w:sz="4" w:space="0" w:color="757070" w:themeColor="accent4"/>
          <w:left w:val="none" w:sz="4" w:space="0" w:color="000000"/>
          <w:bottom w:val="single" w:sz="4" w:space="0" w:color="75707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DCDADA" w:fill="DCDADA" w:themeFill="accent4" w:themeFillTint="40"/>
      </w:tcPr>
    </w:tblStylePr>
    <w:tblStylePr w:type="band1Horz">
      <w:rPr>
        <w:sz w:val="22"/>
      </w:rPr>
      <w:tblPr/>
      <w:tcPr>
        <w:shd w:val="clear" w:color="DCDADA" w:fill="DCDADA"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18D8D" w:themeColor="accent5" w:themeTint="90"/>
        <w:bottom w:val="single" w:sz="4" w:space="0" w:color="918D8D" w:themeColor="accent5" w:themeTint="90"/>
        <w:insideH w:val="single" w:sz="4" w:space="0" w:color="918D8D" w:themeColor="accent5" w:themeTint="90"/>
      </w:tblBorders>
    </w:tblPr>
    <w:tblStylePr w:type="firstRow">
      <w:rPr>
        <w:b/>
        <w:sz w:val="22"/>
      </w:rPr>
      <w:tblPr/>
      <w:tcPr>
        <w:tcBorders>
          <w:top w:val="single" w:sz="4" w:space="0" w:color="3A3838" w:themeColor="accent5"/>
          <w:left w:val="none" w:sz="4" w:space="0" w:color="000000"/>
          <w:bottom w:val="single" w:sz="4" w:space="0" w:color="3A3838" w:themeColor="accent5"/>
          <w:right w:val="none" w:sz="4" w:space="0" w:color="000000"/>
        </w:tcBorders>
      </w:tcPr>
    </w:tblStylePr>
    <w:tblStylePr w:type="lastRow">
      <w:rPr>
        <w:b/>
        <w:sz w:val="22"/>
      </w:rPr>
      <w:tblPr/>
      <w:tcPr>
        <w:tcBorders>
          <w:top w:val="single" w:sz="4" w:space="0" w:color="3A3838" w:themeColor="accent5"/>
          <w:left w:val="none" w:sz="4" w:space="0" w:color="000000"/>
          <w:bottom w:val="single" w:sz="4" w:space="0" w:color="3A3838"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CECCCC" w:fill="CECCCC" w:themeFill="accent5" w:themeFillTint="40"/>
      </w:tcPr>
    </w:tblStylePr>
    <w:tblStylePr w:type="band1Horz">
      <w:rPr>
        <w:sz w:val="22"/>
      </w:rPr>
      <w:tblPr/>
      <w:tcPr>
        <w:shd w:val="clear" w:color="CECCCC" w:fill="CECCCC"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7E7979" w:themeColor="accent6" w:themeTint="90"/>
        <w:bottom w:val="single" w:sz="4" w:space="0" w:color="7E7979" w:themeColor="accent6" w:themeTint="90"/>
        <w:insideH w:val="single" w:sz="4" w:space="0" w:color="7E7979" w:themeColor="accent6" w:themeTint="90"/>
      </w:tblBorders>
    </w:tblPr>
    <w:tblStylePr w:type="firstRow">
      <w:rPr>
        <w:b/>
        <w:sz w:val="22"/>
      </w:rPr>
      <w:tblPr/>
      <w:tcPr>
        <w:tcBorders>
          <w:top w:val="single" w:sz="4" w:space="0" w:color="171616" w:themeColor="accent6"/>
          <w:left w:val="none" w:sz="4" w:space="0" w:color="000000"/>
          <w:bottom w:val="single" w:sz="4" w:space="0" w:color="171616" w:themeColor="accent6"/>
          <w:right w:val="none" w:sz="4" w:space="0" w:color="000000"/>
        </w:tcBorders>
      </w:tcPr>
    </w:tblStylePr>
    <w:tblStylePr w:type="lastRow">
      <w:rPr>
        <w:b/>
        <w:sz w:val="22"/>
      </w:rPr>
      <w:tblPr/>
      <w:tcPr>
        <w:tcBorders>
          <w:top w:val="single" w:sz="4" w:space="0" w:color="171616" w:themeColor="accent6"/>
          <w:left w:val="none" w:sz="4" w:space="0" w:color="000000"/>
          <w:bottom w:val="single" w:sz="4" w:space="0" w:color="17161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C5C3C3" w:fill="C5C3C3" w:themeFill="accent6" w:themeFillTint="40"/>
      </w:tcPr>
    </w:tblStylePr>
    <w:tblStylePr w:type="band1Horz">
      <w:rPr>
        <w:sz w:val="22"/>
      </w:rPr>
      <w:tblPr/>
      <w:tcPr>
        <w:shd w:val="clear" w:color="C5C3C3" w:fill="C5C3C3"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E7E6E6" w:themeColor="accent1"/>
        <w:left w:val="single" w:sz="4" w:space="0" w:color="E7E6E6" w:themeColor="accent1"/>
        <w:bottom w:val="single" w:sz="4" w:space="0" w:color="E7E6E6" w:themeColor="accent1"/>
        <w:right w:val="single" w:sz="4" w:space="0" w:color="E7E6E6" w:themeColor="accent1"/>
      </w:tblBorders>
    </w:tblPr>
    <w:tblStylePr w:type="firstRow">
      <w:rPr>
        <w:b/>
        <w:sz w:val="22"/>
      </w:rPr>
      <w:tblPr/>
      <w:tcPr>
        <w:shd w:val="clear" w:color="E7E6E6" w:fill="E7E6E6"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E7E6E6" w:themeColor="accent1"/>
          <w:right w:val="single" w:sz="4" w:space="0" w:color="E7E6E6" w:themeColor="accent1"/>
        </w:tcBorders>
      </w:tcPr>
    </w:tblStylePr>
    <w:tblStylePr w:type="band1Horz">
      <w:rPr>
        <w:sz w:val="22"/>
      </w:rPr>
      <w:tblPr/>
      <w:tcPr>
        <w:tcBorders>
          <w:top w:val="single" w:sz="4" w:space="0" w:color="E7E6E6" w:themeColor="accent1"/>
          <w:bottom w:val="single" w:sz="4" w:space="0" w:color="E7E6E6"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CFCDCD" w:themeColor="accent2" w:themeTint="97"/>
        <w:left w:val="single" w:sz="4" w:space="0" w:color="CFCDCD" w:themeColor="accent2" w:themeTint="97"/>
        <w:bottom w:val="single" w:sz="4" w:space="0" w:color="CFCDCD" w:themeColor="accent2" w:themeTint="97"/>
        <w:right w:val="single" w:sz="4" w:space="0" w:color="CFCDCD" w:themeColor="accent2" w:themeTint="97"/>
      </w:tblBorders>
    </w:tblPr>
    <w:tblStylePr w:type="firstRow">
      <w:rPr>
        <w:b/>
        <w:sz w:val="22"/>
      </w:rPr>
      <w:tblPr/>
      <w:tcPr>
        <w:shd w:val="clear" w:color="CFCDCD" w:fill="CFCDCD"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AEABAB" w:themeColor="accent2"/>
          <w:right w:val="single" w:sz="4" w:space="0" w:color="AEABAB" w:themeColor="accent2"/>
        </w:tcBorders>
      </w:tcPr>
    </w:tblStylePr>
    <w:tblStylePr w:type="band1Horz">
      <w:rPr>
        <w:sz w:val="22"/>
      </w:rPr>
      <w:tblPr/>
      <w:tcPr>
        <w:tcBorders>
          <w:top w:val="single" w:sz="4" w:space="0" w:color="AEABAB" w:themeColor="accent2"/>
          <w:bottom w:val="single" w:sz="4" w:space="0" w:color="AEABAB" w:themeColor="accent2"/>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ADA9A9" w:themeColor="accent3" w:themeTint="98"/>
        <w:left w:val="single" w:sz="4" w:space="0" w:color="ADA9A9" w:themeColor="accent3" w:themeTint="98"/>
        <w:bottom w:val="single" w:sz="4" w:space="0" w:color="ADA9A9" w:themeColor="accent3" w:themeTint="98"/>
        <w:right w:val="single" w:sz="4" w:space="0" w:color="ADA9A9" w:themeColor="accent3" w:themeTint="98"/>
      </w:tblBorders>
    </w:tblPr>
    <w:tblStylePr w:type="firstRow">
      <w:rPr>
        <w:b/>
        <w:sz w:val="22"/>
      </w:rPr>
      <w:tblPr/>
      <w:tcPr>
        <w:shd w:val="clear" w:color="ADA9A9" w:fill="ADA9A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57070" w:themeColor="accent3"/>
          <w:right w:val="single" w:sz="4" w:space="0" w:color="757070" w:themeColor="accent3"/>
        </w:tcBorders>
      </w:tcPr>
    </w:tblStylePr>
    <w:tblStylePr w:type="band1Horz">
      <w:rPr>
        <w:sz w:val="22"/>
      </w:rPr>
      <w:tblPr/>
      <w:tcPr>
        <w:tcBorders>
          <w:top w:val="single" w:sz="4" w:space="0" w:color="757070" w:themeColor="accent3"/>
          <w:bottom w:val="single" w:sz="4" w:space="0" w:color="757070" w:themeColor="accent3"/>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ABA8A8" w:themeColor="accent4" w:themeTint="9A"/>
        <w:left w:val="single" w:sz="4" w:space="0" w:color="ABA8A8" w:themeColor="accent4" w:themeTint="9A"/>
        <w:bottom w:val="single" w:sz="4" w:space="0" w:color="ABA8A8" w:themeColor="accent4" w:themeTint="9A"/>
        <w:right w:val="single" w:sz="4" w:space="0" w:color="ABA8A8" w:themeColor="accent4" w:themeTint="9A"/>
      </w:tblBorders>
    </w:tblPr>
    <w:tblStylePr w:type="firstRow">
      <w:rPr>
        <w:b/>
        <w:sz w:val="22"/>
      </w:rPr>
      <w:tblPr/>
      <w:tcPr>
        <w:shd w:val="clear" w:color="ABA8A8" w:fill="ABA8A8"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757070" w:themeColor="accent4"/>
          <w:right w:val="single" w:sz="4" w:space="0" w:color="757070" w:themeColor="accent4"/>
        </w:tcBorders>
      </w:tcPr>
    </w:tblStylePr>
    <w:tblStylePr w:type="band1Horz">
      <w:rPr>
        <w:sz w:val="22"/>
      </w:rPr>
      <w:tblPr/>
      <w:tcPr>
        <w:tcBorders>
          <w:top w:val="single" w:sz="4" w:space="0" w:color="757070" w:themeColor="accent4"/>
          <w:bottom w:val="single" w:sz="4" w:space="0" w:color="757070" w:themeColor="accent4"/>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898585" w:themeColor="accent5" w:themeTint="9A"/>
        <w:left w:val="single" w:sz="4" w:space="0" w:color="898585" w:themeColor="accent5" w:themeTint="9A"/>
        <w:bottom w:val="single" w:sz="4" w:space="0" w:color="898585" w:themeColor="accent5" w:themeTint="9A"/>
        <w:right w:val="single" w:sz="4" w:space="0" w:color="898585" w:themeColor="accent5" w:themeTint="9A"/>
      </w:tblBorders>
    </w:tblPr>
    <w:tblStylePr w:type="firstRow">
      <w:rPr>
        <w:b/>
        <w:sz w:val="22"/>
      </w:rPr>
      <w:tblPr/>
      <w:tcPr>
        <w:shd w:val="clear" w:color="898585" w:fill="89858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3A3838" w:themeColor="accent5"/>
          <w:right w:val="single" w:sz="4" w:space="0" w:color="3A3838" w:themeColor="accent5"/>
        </w:tcBorders>
      </w:tcPr>
    </w:tblStylePr>
    <w:tblStylePr w:type="band1Horz">
      <w:rPr>
        <w:sz w:val="22"/>
      </w:rPr>
      <w:tblPr/>
      <w:tcPr>
        <w:tcBorders>
          <w:top w:val="single" w:sz="4" w:space="0" w:color="3A3838" w:themeColor="accent5"/>
          <w:bottom w:val="single" w:sz="4" w:space="0" w:color="3A3838" w:themeColor="accent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767171" w:themeColor="accent6" w:themeTint="98"/>
        <w:left w:val="single" w:sz="4" w:space="0" w:color="767171" w:themeColor="accent6" w:themeTint="98"/>
        <w:bottom w:val="single" w:sz="4" w:space="0" w:color="767171" w:themeColor="accent6" w:themeTint="98"/>
        <w:right w:val="single" w:sz="4" w:space="0" w:color="767171" w:themeColor="accent6" w:themeTint="98"/>
      </w:tblBorders>
    </w:tblPr>
    <w:tblStylePr w:type="firstRow">
      <w:rPr>
        <w:b/>
        <w:sz w:val="22"/>
      </w:rPr>
      <w:tblPr/>
      <w:tcPr>
        <w:shd w:val="clear" w:color="767171" w:fill="767171"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171616" w:themeColor="accent6"/>
          <w:right w:val="single" w:sz="4" w:space="0" w:color="171616" w:themeColor="accent6"/>
        </w:tcBorders>
      </w:tcPr>
    </w:tblStylePr>
    <w:tblStylePr w:type="band1Horz">
      <w:rPr>
        <w:sz w:val="22"/>
      </w:rPr>
      <w:tblPr/>
      <w:tcPr>
        <w:tcBorders>
          <w:top w:val="single" w:sz="4" w:space="0" w:color="171616" w:themeColor="accent6"/>
          <w:bottom w:val="single" w:sz="4" w:space="0" w:color="171616" w:themeColor="accent6"/>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F1F0F0" w:themeColor="accent1" w:themeTint="90"/>
        <w:left w:val="single" w:sz="4" w:space="0" w:color="F1F0F0" w:themeColor="accent1" w:themeTint="90"/>
        <w:bottom w:val="single" w:sz="4" w:space="0" w:color="F1F0F0" w:themeColor="accent1" w:themeTint="90"/>
        <w:right w:val="single" w:sz="4" w:space="0" w:color="F1F0F0" w:themeColor="accent1" w:themeTint="90"/>
        <w:insideH w:val="single" w:sz="4" w:space="0" w:color="F1F0F0" w:themeColor="accent1" w:themeTint="90"/>
      </w:tblBorders>
    </w:tblPr>
    <w:tblStylePr w:type="firstRow">
      <w:rPr>
        <w:b/>
        <w:sz w:val="22"/>
      </w:rPr>
      <w:tblPr/>
      <w:tcPr>
        <w:shd w:val="clear" w:color="E7E6E6" w:fill="E7E6E6" w:themeFill="accent1"/>
      </w:tcPr>
    </w:tblStylePr>
    <w:tblStylePr w:type="lastRow">
      <w:rPr>
        <w:b/>
      </w:rPr>
    </w:tblStylePr>
    <w:tblStylePr w:type="firstCol">
      <w:rPr>
        <w:b/>
      </w:rPr>
    </w:tblStylePr>
    <w:tblStylePr w:type="lastCol">
      <w:rPr>
        <w:b/>
      </w:rPr>
    </w:tblStylePr>
    <w:tblStylePr w:type="band1Vert">
      <w:rPr>
        <w:sz w:val="22"/>
      </w:rPr>
      <w:tblPr/>
      <w:tcPr>
        <w:shd w:val="clear" w:color="F9F8F8" w:fill="F9F8F8" w:themeFill="accent1" w:themeFillTint="40"/>
      </w:tcPr>
    </w:tblStylePr>
    <w:tblStylePr w:type="band1Horz">
      <w:rPr>
        <w:sz w:val="22"/>
      </w:rPr>
      <w:tblPr/>
      <w:tcPr>
        <w:shd w:val="clear" w:color="F9F8F8" w:fill="F9F8F8"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1CFCF" w:themeColor="accent2" w:themeTint="90"/>
        <w:left w:val="single" w:sz="4" w:space="0" w:color="D1CFCF" w:themeColor="accent2" w:themeTint="90"/>
        <w:bottom w:val="single" w:sz="4" w:space="0" w:color="D1CFCF" w:themeColor="accent2" w:themeTint="90"/>
        <w:right w:val="single" w:sz="4" w:space="0" w:color="D1CFCF" w:themeColor="accent2" w:themeTint="90"/>
        <w:insideH w:val="single" w:sz="4" w:space="0" w:color="D1CFCF" w:themeColor="accent2" w:themeTint="90"/>
      </w:tblBorders>
    </w:tblPr>
    <w:tblStylePr w:type="firstRow">
      <w:rPr>
        <w:b/>
        <w:sz w:val="22"/>
      </w:rPr>
      <w:tblPr/>
      <w:tcPr>
        <w:shd w:val="clear" w:color="AEABAB" w:fill="AEABAB" w:themeFill="accent2"/>
      </w:tcPr>
    </w:tblStylePr>
    <w:tblStylePr w:type="lastRow">
      <w:rPr>
        <w:b/>
      </w:rPr>
    </w:tblStylePr>
    <w:tblStylePr w:type="firstCol">
      <w:rPr>
        <w:b/>
      </w:rPr>
    </w:tblStylePr>
    <w:tblStylePr w:type="lastCol">
      <w:rPr>
        <w:b/>
      </w:rPr>
    </w:tblStylePr>
    <w:tblStylePr w:type="band1Vert">
      <w:rPr>
        <w:sz w:val="22"/>
      </w:rPr>
      <w:tblPr/>
      <w:tcPr>
        <w:shd w:val="clear" w:color="EAE9E9" w:fill="EAE9E9" w:themeFill="accent2" w:themeFillTint="40"/>
      </w:tcPr>
    </w:tblStylePr>
    <w:tblStylePr w:type="band1Horz">
      <w:rPr>
        <w:sz w:val="22"/>
      </w:rPr>
      <w:tblPr/>
      <w:tcPr>
        <w:shd w:val="clear" w:color="EAE9E9" w:fill="EAE9E9"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B1ADAD" w:themeColor="accent3" w:themeTint="90"/>
        <w:left w:val="single" w:sz="4" w:space="0" w:color="B1ADAD" w:themeColor="accent3" w:themeTint="90"/>
        <w:bottom w:val="single" w:sz="4" w:space="0" w:color="B1ADAD" w:themeColor="accent3" w:themeTint="90"/>
        <w:right w:val="single" w:sz="4" w:space="0" w:color="B1ADAD" w:themeColor="accent3" w:themeTint="90"/>
        <w:insideH w:val="single" w:sz="4" w:space="0" w:color="B1ADAD" w:themeColor="accent3" w:themeTint="90"/>
      </w:tblBorders>
    </w:tblPr>
    <w:tblStylePr w:type="firstRow">
      <w:rPr>
        <w:b/>
        <w:sz w:val="22"/>
      </w:rPr>
      <w:tblPr/>
      <w:tcPr>
        <w:shd w:val="clear" w:color="757070" w:fill="757070" w:themeFill="accent3"/>
      </w:tcPr>
    </w:tblStylePr>
    <w:tblStylePr w:type="lastRow">
      <w:rPr>
        <w:b/>
      </w:rPr>
    </w:tblStylePr>
    <w:tblStylePr w:type="firstCol">
      <w:rPr>
        <w:b/>
      </w:rPr>
    </w:tblStylePr>
    <w:tblStylePr w:type="lastCol">
      <w:rPr>
        <w:b/>
      </w:rPr>
    </w:tblStylePr>
    <w:tblStylePr w:type="band1Vert">
      <w:rPr>
        <w:sz w:val="22"/>
      </w:rPr>
      <w:tblPr/>
      <w:tcPr>
        <w:shd w:val="clear" w:color="DCDADA" w:fill="DCDADA" w:themeFill="accent3" w:themeFillTint="40"/>
      </w:tcPr>
    </w:tblStylePr>
    <w:tblStylePr w:type="band1Horz">
      <w:rPr>
        <w:sz w:val="22"/>
      </w:rPr>
      <w:tblPr/>
      <w:tcPr>
        <w:shd w:val="clear" w:color="DCDADA" w:fill="DCDADA"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1ADAD" w:themeColor="accent4" w:themeTint="90"/>
        <w:left w:val="single" w:sz="4" w:space="0" w:color="B1ADAD" w:themeColor="accent4" w:themeTint="90"/>
        <w:bottom w:val="single" w:sz="4" w:space="0" w:color="B1ADAD" w:themeColor="accent4" w:themeTint="90"/>
        <w:right w:val="single" w:sz="4" w:space="0" w:color="B1ADAD" w:themeColor="accent4" w:themeTint="90"/>
        <w:insideH w:val="single" w:sz="4" w:space="0" w:color="B1ADAD" w:themeColor="accent4" w:themeTint="90"/>
      </w:tblBorders>
    </w:tblPr>
    <w:tblStylePr w:type="firstRow">
      <w:rPr>
        <w:b/>
        <w:sz w:val="22"/>
      </w:rPr>
      <w:tblPr/>
      <w:tcPr>
        <w:shd w:val="clear" w:color="757070" w:fill="757070" w:themeFill="accent4"/>
      </w:tcPr>
    </w:tblStylePr>
    <w:tblStylePr w:type="lastRow">
      <w:rPr>
        <w:b/>
      </w:rPr>
    </w:tblStylePr>
    <w:tblStylePr w:type="firstCol">
      <w:rPr>
        <w:b/>
      </w:rPr>
    </w:tblStylePr>
    <w:tblStylePr w:type="lastCol">
      <w:rPr>
        <w:b/>
      </w:rPr>
    </w:tblStylePr>
    <w:tblStylePr w:type="band1Vert">
      <w:rPr>
        <w:sz w:val="22"/>
      </w:rPr>
      <w:tblPr/>
      <w:tcPr>
        <w:shd w:val="clear" w:color="DCDADA" w:fill="DCDADA" w:themeFill="accent4" w:themeFillTint="40"/>
      </w:tcPr>
    </w:tblStylePr>
    <w:tblStylePr w:type="band1Horz">
      <w:rPr>
        <w:sz w:val="22"/>
      </w:rPr>
      <w:tblPr/>
      <w:tcPr>
        <w:shd w:val="clear" w:color="DCDADA" w:fill="DCDADA"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18D8D" w:themeColor="accent5" w:themeTint="90"/>
        <w:left w:val="single" w:sz="4" w:space="0" w:color="918D8D" w:themeColor="accent5" w:themeTint="90"/>
        <w:bottom w:val="single" w:sz="4" w:space="0" w:color="918D8D" w:themeColor="accent5" w:themeTint="90"/>
        <w:right w:val="single" w:sz="4" w:space="0" w:color="918D8D" w:themeColor="accent5" w:themeTint="90"/>
        <w:insideH w:val="single" w:sz="4" w:space="0" w:color="918D8D" w:themeColor="accent5" w:themeTint="90"/>
      </w:tblBorders>
    </w:tblPr>
    <w:tblStylePr w:type="firstRow">
      <w:rPr>
        <w:b/>
        <w:sz w:val="22"/>
      </w:rPr>
      <w:tblPr/>
      <w:tcPr>
        <w:shd w:val="clear" w:color="3A3838" w:fill="3A3838" w:themeFill="accent5"/>
      </w:tcPr>
    </w:tblStylePr>
    <w:tblStylePr w:type="lastRow">
      <w:rPr>
        <w:b/>
      </w:rPr>
    </w:tblStylePr>
    <w:tblStylePr w:type="firstCol">
      <w:rPr>
        <w:b/>
      </w:rPr>
    </w:tblStylePr>
    <w:tblStylePr w:type="lastCol">
      <w:rPr>
        <w:b/>
      </w:rPr>
    </w:tblStylePr>
    <w:tblStylePr w:type="band1Vert">
      <w:rPr>
        <w:sz w:val="22"/>
      </w:rPr>
      <w:tblPr/>
      <w:tcPr>
        <w:shd w:val="clear" w:color="CECCCC" w:fill="CECCCC" w:themeFill="accent5" w:themeFillTint="40"/>
      </w:tcPr>
    </w:tblStylePr>
    <w:tblStylePr w:type="band1Horz">
      <w:rPr>
        <w:sz w:val="22"/>
      </w:rPr>
      <w:tblPr/>
      <w:tcPr>
        <w:shd w:val="clear" w:color="CECCCC" w:fill="CECCCC"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7E7979" w:themeColor="accent6" w:themeTint="90"/>
        <w:left w:val="single" w:sz="4" w:space="0" w:color="7E7979" w:themeColor="accent6" w:themeTint="90"/>
        <w:bottom w:val="single" w:sz="4" w:space="0" w:color="7E7979" w:themeColor="accent6" w:themeTint="90"/>
        <w:right w:val="single" w:sz="4" w:space="0" w:color="7E7979" w:themeColor="accent6" w:themeTint="90"/>
        <w:insideH w:val="single" w:sz="4" w:space="0" w:color="7E7979" w:themeColor="accent6" w:themeTint="90"/>
      </w:tblBorders>
    </w:tblPr>
    <w:tblStylePr w:type="firstRow">
      <w:rPr>
        <w:b/>
        <w:sz w:val="22"/>
      </w:rPr>
      <w:tblPr/>
      <w:tcPr>
        <w:shd w:val="clear" w:color="171616" w:fill="171616" w:themeFill="accent6"/>
      </w:tcPr>
    </w:tblStylePr>
    <w:tblStylePr w:type="lastRow">
      <w:rPr>
        <w:b/>
      </w:rPr>
    </w:tblStylePr>
    <w:tblStylePr w:type="firstCol">
      <w:rPr>
        <w:b/>
      </w:rPr>
    </w:tblStylePr>
    <w:tblStylePr w:type="lastCol">
      <w:rPr>
        <w:b/>
      </w:rPr>
    </w:tblStylePr>
    <w:tblStylePr w:type="band1Vert">
      <w:rPr>
        <w:sz w:val="22"/>
      </w:rPr>
      <w:tblPr/>
      <w:tcPr>
        <w:shd w:val="clear" w:color="C5C3C3" w:fill="C5C3C3" w:themeFill="accent6" w:themeFillTint="40"/>
      </w:tcPr>
    </w:tblStylePr>
    <w:tblStylePr w:type="band1Horz">
      <w:rPr>
        <w:sz w:val="22"/>
      </w:rPr>
      <w:tblPr/>
      <w:tcPr>
        <w:shd w:val="clear" w:color="C5C3C3" w:fill="C5C3C3"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E7E6E6" w:themeColor="accent1"/>
        <w:left w:val="single" w:sz="32" w:space="0" w:color="E7E6E6" w:themeColor="accent1"/>
        <w:bottom w:val="single" w:sz="32" w:space="0" w:color="E7E6E6" w:themeColor="accent1"/>
        <w:right w:val="single" w:sz="32" w:space="0" w:color="E7E6E6" w:themeColor="accent1"/>
      </w:tblBorders>
    </w:tblPr>
    <w:tblStylePr w:type="firstRow">
      <w:rPr>
        <w:b/>
        <w:color w:val="FFFFFF" w:themeColor="light1"/>
        <w:sz w:val="22"/>
      </w:rPr>
      <w:tblPr/>
      <w:tcPr>
        <w:tcBorders>
          <w:top w:val="single" w:sz="32" w:space="0" w:color="E7E6E6" w:themeColor="accent1"/>
          <w:bottom w:val="single" w:sz="12" w:space="0" w:color="FFFFFF" w:themeColor="light1"/>
        </w:tcBorders>
        <w:shd w:val="clear" w:color="E7E6E6" w:fill="E7E6E6"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E7E6E6" w:themeColor="accent1"/>
          <w:right w:val="single" w:sz="4" w:space="0" w:color="FFFFFF" w:themeColor="light1"/>
        </w:tcBorders>
      </w:tcPr>
    </w:tblStylePr>
    <w:tblStylePr w:type="lastCol">
      <w:tblPr/>
      <w:tcPr>
        <w:tcBorders>
          <w:left w:val="single" w:sz="4" w:space="0" w:color="FFFFFF" w:themeColor="light1"/>
          <w:right w:val="single" w:sz="32" w:space="0" w:color="E7E6E6" w:themeColor="accent1"/>
        </w:tcBorders>
      </w:tcPr>
    </w:tblStylePr>
    <w:tblStylePr w:type="band1Vert">
      <w:tblPr/>
      <w:tcPr>
        <w:tcBorders>
          <w:left w:val="single" w:sz="4" w:space="0" w:color="FFFFFF" w:themeColor="light1"/>
          <w:right w:val="single" w:sz="4" w:space="0" w:color="FFFFFF" w:themeColor="light1"/>
        </w:tcBorders>
        <w:shd w:val="clear" w:color="E7E6E6" w:fill="E7E6E6"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7E6E6" w:fill="E7E6E6" w:themeFill="accent1"/>
      </w:tcPr>
    </w:tblStylePr>
    <w:tblStylePr w:type="band2Horz">
      <w:tblPr/>
      <w:tcPr>
        <w:tcBorders>
          <w:top w:val="single" w:sz="4" w:space="0" w:color="FFFFFF" w:themeColor="light1"/>
          <w:bottom w:val="single" w:sz="4" w:space="0" w:color="FFFFFF" w:themeColor="light1"/>
        </w:tcBorders>
        <w:shd w:val="clear" w:color="E7E6E6" w:fill="E7E6E6"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CFCDCD" w:themeColor="accent2" w:themeTint="97"/>
        <w:left w:val="single" w:sz="32" w:space="0" w:color="CFCDCD" w:themeColor="accent2" w:themeTint="97"/>
        <w:bottom w:val="single" w:sz="32" w:space="0" w:color="CFCDCD" w:themeColor="accent2" w:themeTint="97"/>
        <w:right w:val="single" w:sz="32" w:space="0" w:color="CFCDCD" w:themeColor="accent2" w:themeTint="97"/>
      </w:tblBorders>
    </w:tblPr>
    <w:tblStylePr w:type="firstRow">
      <w:rPr>
        <w:b/>
        <w:color w:val="FFFFFF" w:themeColor="light1"/>
        <w:sz w:val="22"/>
      </w:rPr>
      <w:tblPr/>
      <w:tcPr>
        <w:tcBorders>
          <w:top w:val="single" w:sz="32" w:space="0" w:color="AEABAB" w:themeColor="accent2"/>
          <w:bottom w:val="single" w:sz="12" w:space="0" w:color="FFFFFF" w:themeColor="light1"/>
        </w:tcBorders>
        <w:shd w:val="clear" w:color="CFCDCD" w:fill="CFCDCD"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AEABAB" w:themeColor="accent2"/>
          <w:right w:val="single" w:sz="4" w:space="0" w:color="FFFFFF" w:themeColor="light1"/>
        </w:tcBorders>
      </w:tcPr>
    </w:tblStylePr>
    <w:tblStylePr w:type="lastCol">
      <w:tblPr/>
      <w:tcPr>
        <w:tcBorders>
          <w:left w:val="single" w:sz="4" w:space="0" w:color="FFFFFF" w:themeColor="light1"/>
          <w:right w:val="single" w:sz="32" w:space="0" w:color="AEABAB" w:themeColor="accent2"/>
        </w:tcBorders>
      </w:tcPr>
    </w:tblStylePr>
    <w:tblStylePr w:type="band1Vert">
      <w:tblPr/>
      <w:tcPr>
        <w:tcBorders>
          <w:left w:val="single" w:sz="4" w:space="0" w:color="FFFFFF" w:themeColor="light1"/>
          <w:right w:val="single" w:sz="4" w:space="0" w:color="FFFFFF" w:themeColor="light1"/>
        </w:tcBorders>
        <w:shd w:val="clear" w:color="CFCDCD" w:fill="CFCDCD"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FCDCD" w:fill="CFCDCD" w:themeFill="accent2" w:themeFillTint="97"/>
      </w:tcPr>
    </w:tblStylePr>
    <w:tblStylePr w:type="band2Horz">
      <w:tblPr/>
      <w:tcPr>
        <w:tcBorders>
          <w:top w:val="single" w:sz="4" w:space="0" w:color="FFFFFF" w:themeColor="light1"/>
          <w:bottom w:val="single" w:sz="4" w:space="0" w:color="FFFFFF" w:themeColor="light1"/>
        </w:tcBorders>
        <w:shd w:val="clear" w:color="CFCDCD" w:fill="CFCDCD"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ADA9A9" w:themeColor="accent3" w:themeTint="98"/>
        <w:left w:val="single" w:sz="32" w:space="0" w:color="ADA9A9" w:themeColor="accent3" w:themeTint="98"/>
        <w:bottom w:val="single" w:sz="32" w:space="0" w:color="ADA9A9" w:themeColor="accent3" w:themeTint="98"/>
        <w:right w:val="single" w:sz="32" w:space="0" w:color="ADA9A9" w:themeColor="accent3" w:themeTint="98"/>
      </w:tblBorders>
    </w:tblPr>
    <w:tblStylePr w:type="firstRow">
      <w:rPr>
        <w:b/>
        <w:color w:val="FFFFFF" w:themeColor="light1"/>
        <w:sz w:val="22"/>
      </w:rPr>
      <w:tblPr/>
      <w:tcPr>
        <w:tcBorders>
          <w:top w:val="single" w:sz="32" w:space="0" w:color="757070" w:themeColor="accent3"/>
          <w:bottom w:val="single" w:sz="12" w:space="0" w:color="FFFFFF" w:themeColor="light1"/>
        </w:tcBorders>
        <w:shd w:val="clear" w:color="ADA9A9" w:fill="ADA9A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57070" w:themeColor="accent3"/>
          <w:right w:val="single" w:sz="4" w:space="0" w:color="FFFFFF" w:themeColor="light1"/>
        </w:tcBorders>
      </w:tcPr>
    </w:tblStylePr>
    <w:tblStylePr w:type="lastCol">
      <w:tblPr/>
      <w:tcPr>
        <w:tcBorders>
          <w:left w:val="single" w:sz="4" w:space="0" w:color="FFFFFF" w:themeColor="light1"/>
          <w:right w:val="single" w:sz="32" w:space="0" w:color="757070" w:themeColor="accent3"/>
        </w:tcBorders>
      </w:tcPr>
    </w:tblStylePr>
    <w:tblStylePr w:type="band1Vert">
      <w:tblPr/>
      <w:tcPr>
        <w:tcBorders>
          <w:left w:val="single" w:sz="4" w:space="0" w:color="FFFFFF" w:themeColor="light1"/>
          <w:right w:val="single" w:sz="4" w:space="0" w:color="FFFFFF" w:themeColor="light1"/>
        </w:tcBorders>
        <w:shd w:val="clear" w:color="ADA9A9" w:fill="ADA9A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DA9A9" w:fill="ADA9A9" w:themeFill="accent3" w:themeFillTint="98"/>
      </w:tcPr>
    </w:tblStylePr>
    <w:tblStylePr w:type="band2Horz">
      <w:tblPr/>
      <w:tcPr>
        <w:tcBorders>
          <w:top w:val="single" w:sz="4" w:space="0" w:color="FFFFFF" w:themeColor="light1"/>
          <w:bottom w:val="single" w:sz="4" w:space="0" w:color="FFFFFF" w:themeColor="light1"/>
        </w:tcBorders>
        <w:shd w:val="clear" w:color="ADA9A9" w:fill="ADA9A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ABA8A8" w:themeColor="accent4" w:themeTint="9A"/>
        <w:left w:val="single" w:sz="32" w:space="0" w:color="ABA8A8" w:themeColor="accent4" w:themeTint="9A"/>
        <w:bottom w:val="single" w:sz="32" w:space="0" w:color="ABA8A8" w:themeColor="accent4" w:themeTint="9A"/>
        <w:right w:val="single" w:sz="32" w:space="0" w:color="ABA8A8" w:themeColor="accent4" w:themeTint="9A"/>
      </w:tblBorders>
    </w:tblPr>
    <w:tblStylePr w:type="firstRow">
      <w:rPr>
        <w:b/>
        <w:color w:val="FFFFFF" w:themeColor="light1"/>
        <w:sz w:val="22"/>
      </w:rPr>
      <w:tblPr/>
      <w:tcPr>
        <w:tcBorders>
          <w:top w:val="single" w:sz="32" w:space="0" w:color="757070" w:themeColor="accent4"/>
          <w:bottom w:val="single" w:sz="12" w:space="0" w:color="FFFFFF" w:themeColor="light1"/>
        </w:tcBorders>
        <w:shd w:val="clear" w:color="ABA8A8" w:fill="ABA8A8"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757070" w:themeColor="accent4"/>
          <w:right w:val="single" w:sz="4" w:space="0" w:color="FFFFFF" w:themeColor="light1"/>
        </w:tcBorders>
      </w:tcPr>
    </w:tblStylePr>
    <w:tblStylePr w:type="lastCol">
      <w:tblPr/>
      <w:tcPr>
        <w:tcBorders>
          <w:left w:val="single" w:sz="4" w:space="0" w:color="FFFFFF" w:themeColor="light1"/>
          <w:right w:val="single" w:sz="32" w:space="0" w:color="757070" w:themeColor="accent4"/>
        </w:tcBorders>
      </w:tcPr>
    </w:tblStylePr>
    <w:tblStylePr w:type="band1Vert">
      <w:tblPr/>
      <w:tcPr>
        <w:tcBorders>
          <w:left w:val="single" w:sz="4" w:space="0" w:color="FFFFFF" w:themeColor="light1"/>
          <w:right w:val="single" w:sz="4" w:space="0" w:color="FFFFFF" w:themeColor="light1"/>
        </w:tcBorders>
        <w:shd w:val="clear" w:color="ABA8A8" w:fill="ABA8A8"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BA8A8" w:fill="ABA8A8" w:themeFill="accent4" w:themeFillTint="9A"/>
      </w:tcPr>
    </w:tblStylePr>
    <w:tblStylePr w:type="band2Horz">
      <w:tblPr/>
      <w:tcPr>
        <w:tcBorders>
          <w:top w:val="single" w:sz="4" w:space="0" w:color="FFFFFF" w:themeColor="light1"/>
          <w:bottom w:val="single" w:sz="4" w:space="0" w:color="FFFFFF" w:themeColor="light1"/>
        </w:tcBorders>
        <w:shd w:val="clear" w:color="ABA8A8" w:fill="ABA8A8"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898585" w:themeColor="accent5" w:themeTint="9A"/>
        <w:left w:val="single" w:sz="32" w:space="0" w:color="898585" w:themeColor="accent5" w:themeTint="9A"/>
        <w:bottom w:val="single" w:sz="32" w:space="0" w:color="898585" w:themeColor="accent5" w:themeTint="9A"/>
        <w:right w:val="single" w:sz="32" w:space="0" w:color="898585" w:themeColor="accent5" w:themeTint="9A"/>
      </w:tblBorders>
    </w:tblPr>
    <w:tblStylePr w:type="firstRow">
      <w:rPr>
        <w:b/>
        <w:color w:val="FFFFFF" w:themeColor="light1"/>
        <w:sz w:val="22"/>
      </w:rPr>
      <w:tblPr/>
      <w:tcPr>
        <w:tcBorders>
          <w:top w:val="single" w:sz="32" w:space="0" w:color="3A3838" w:themeColor="accent5"/>
          <w:bottom w:val="single" w:sz="12" w:space="0" w:color="FFFFFF" w:themeColor="light1"/>
        </w:tcBorders>
        <w:shd w:val="clear" w:color="898585" w:fill="89858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3A3838" w:themeColor="accent5"/>
          <w:right w:val="single" w:sz="4" w:space="0" w:color="FFFFFF" w:themeColor="light1"/>
        </w:tcBorders>
      </w:tcPr>
    </w:tblStylePr>
    <w:tblStylePr w:type="lastCol">
      <w:tblPr/>
      <w:tcPr>
        <w:tcBorders>
          <w:left w:val="single" w:sz="4" w:space="0" w:color="FFFFFF" w:themeColor="light1"/>
          <w:right w:val="single" w:sz="32" w:space="0" w:color="3A3838" w:themeColor="accent5"/>
        </w:tcBorders>
      </w:tcPr>
    </w:tblStylePr>
    <w:tblStylePr w:type="band1Vert">
      <w:tblPr/>
      <w:tcPr>
        <w:tcBorders>
          <w:left w:val="single" w:sz="4" w:space="0" w:color="FFFFFF" w:themeColor="light1"/>
          <w:right w:val="single" w:sz="4" w:space="0" w:color="FFFFFF" w:themeColor="light1"/>
        </w:tcBorders>
        <w:shd w:val="clear" w:color="898585" w:fill="89858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98585" w:fill="898585" w:themeFill="accent5" w:themeFillTint="9A"/>
      </w:tcPr>
    </w:tblStylePr>
    <w:tblStylePr w:type="band2Horz">
      <w:tblPr/>
      <w:tcPr>
        <w:tcBorders>
          <w:top w:val="single" w:sz="4" w:space="0" w:color="FFFFFF" w:themeColor="light1"/>
          <w:bottom w:val="single" w:sz="4" w:space="0" w:color="FFFFFF" w:themeColor="light1"/>
        </w:tcBorders>
        <w:shd w:val="clear" w:color="898585" w:fill="89858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767171" w:themeColor="accent6" w:themeTint="98"/>
        <w:left w:val="single" w:sz="32" w:space="0" w:color="767171" w:themeColor="accent6" w:themeTint="98"/>
        <w:bottom w:val="single" w:sz="32" w:space="0" w:color="767171" w:themeColor="accent6" w:themeTint="98"/>
        <w:right w:val="single" w:sz="32" w:space="0" w:color="767171" w:themeColor="accent6" w:themeTint="98"/>
      </w:tblBorders>
    </w:tblPr>
    <w:tblStylePr w:type="firstRow">
      <w:rPr>
        <w:b/>
        <w:color w:val="FFFFFF" w:themeColor="light1"/>
        <w:sz w:val="22"/>
      </w:rPr>
      <w:tblPr/>
      <w:tcPr>
        <w:tcBorders>
          <w:top w:val="single" w:sz="32" w:space="0" w:color="171616" w:themeColor="accent6"/>
          <w:bottom w:val="single" w:sz="12" w:space="0" w:color="FFFFFF" w:themeColor="light1"/>
        </w:tcBorders>
        <w:shd w:val="clear" w:color="767171" w:fill="767171"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171616" w:themeColor="accent6"/>
          <w:right w:val="single" w:sz="4" w:space="0" w:color="FFFFFF" w:themeColor="light1"/>
        </w:tcBorders>
      </w:tcPr>
    </w:tblStylePr>
    <w:tblStylePr w:type="lastCol">
      <w:tblPr/>
      <w:tcPr>
        <w:tcBorders>
          <w:left w:val="single" w:sz="4" w:space="0" w:color="FFFFFF" w:themeColor="light1"/>
          <w:right w:val="single" w:sz="32" w:space="0" w:color="171616" w:themeColor="accent6"/>
        </w:tcBorders>
      </w:tcPr>
    </w:tblStylePr>
    <w:tblStylePr w:type="band1Vert">
      <w:tblPr/>
      <w:tcPr>
        <w:tcBorders>
          <w:left w:val="single" w:sz="4" w:space="0" w:color="FFFFFF" w:themeColor="light1"/>
          <w:right w:val="single" w:sz="4" w:space="0" w:color="FFFFFF" w:themeColor="light1"/>
        </w:tcBorders>
        <w:shd w:val="clear" w:color="767171" w:fill="767171"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67171" w:fill="767171" w:themeFill="accent6" w:themeFillTint="98"/>
      </w:tcPr>
    </w:tblStylePr>
    <w:tblStylePr w:type="band2Horz">
      <w:tblPr/>
      <w:tcPr>
        <w:tcBorders>
          <w:top w:val="single" w:sz="4" w:space="0" w:color="FFFFFF" w:themeColor="light1"/>
          <w:bottom w:val="single" w:sz="4" w:space="0" w:color="FFFFFF" w:themeColor="light1"/>
        </w:tcBorders>
        <w:shd w:val="clear" w:color="767171" w:fill="767171"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E7E6E6" w:themeColor="accent1"/>
        <w:bottom w:val="single" w:sz="4" w:space="0" w:color="E7E6E6" w:themeColor="accent1"/>
      </w:tblBorders>
    </w:tblPr>
    <w:tblStylePr w:type="firstRow">
      <w:rPr>
        <w:b/>
        <w:color w:val="898484" w:themeColor="accent1" w:themeShade="95"/>
      </w:rPr>
      <w:tblPr/>
      <w:tcPr>
        <w:tcBorders>
          <w:bottom w:val="single" w:sz="4" w:space="0" w:color="E7E6E6" w:themeColor="accent1"/>
        </w:tcBorders>
      </w:tcPr>
    </w:tblStylePr>
    <w:tblStylePr w:type="lastRow">
      <w:rPr>
        <w:b/>
        <w:color w:val="898484" w:themeColor="accent1" w:themeShade="95"/>
      </w:rPr>
      <w:tblPr/>
      <w:tcPr>
        <w:tcBorders>
          <w:top w:val="single" w:sz="4" w:space="0" w:color="E7E6E6" w:themeColor="accent1"/>
        </w:tcBorders>
      </w:tcPr>
    </w:tblStylePr>
    <w:tblStylePr w:type="firstCol">
      <w:rPr>
        <w:b/>
        <w:color w:val="898484" w:themeColor="accent1" w:themeShade="95"/>
      </w:rPr>
    </w:tblStylePr>
    <w:tblStylePr w:type="lastCol">
      <w:rPr>
        <w:b/>
        <w:color w:val="898484" w:themeColor="accent1" w:themeShade="95"/>
      </w:rPr>
    </w:tblStylePr>
    <w:tblStylePr w:type="band1Vert">
      <w:tblPr/>
      <w:tcPr>
        <w:shd w:val="clear" w:color="F9F8F8" w:fill="F9F8F8" w:themeFill="accent1" w:themeFillTint="40"/>
      </w:tcPr>
    </w:tblStylePr>
    <w:tblStylePr w:type="band1Horz">
      <w:rPr>
        <w:color w:val="898484" w:themeColor="accent1" w:themeShade="95"/>
        <w:sz w:val="22"/>
      </w:rPr>
      <w:tblPr/>
      <w:tcPr>
        <w:shd w:val="clear" w:color="F9F8F8" w:fill="F9F8F8" w:themeFill="accent1" w:themeFillTint="40"/>
      </w:tcPr>
    </w:tblStylePr>
    <w:tblStylePr w:type="band2Horz">
      <w:rPr>
        <w:color w:val="898484"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CFCDCD" w:themeColor="accent2" w:themeTint="97"/>
        <w:bottom w:val="single" w:sz="4" w:space="0" w:color="CFCDCD" w:themeColor="accent2" w:themeTint="97"/>
      </w:tblBorders>
    </w:tblPr>
    <w:tblStylePr w:type="firstRow">
      <w:rPr>
        <w:b/>
        <w:color w:val="CFCDCD" w:themeColor="accent2" w:themeTint="97" w:themeShade="95"/>
      </w:rPr>
      <w:tblPr/>
      <w:tcPr>
        <w:tcBorders>
          <w:bottom w:val="single" w:sz="4" w:space="0" w:color="AEABAB" w:themeColor="accent2"/>
        </w:tcBorders>
      </w:tcPr>
    </w:tblStylePr>
    <w:tblStylePr w:type="lastRow">
      <w:rPr>
        <w:b/>
        <w:color w:val="CFCDCD" w:themeColor="accent2" w:themeTint="97" w:themeShade="95"/>
      </w:rPr>
      <w:tblPr/>
      <w:tcPr>
        <w:tcBorders>
          <w:top w:val="single" w:sz="4" w:space="0" w:color="AEABAB" w:themeColor="accent2"/>
        </w:tcBorders>
      </w:tcPr>
    </w:tblStylePr>
    <w:tblStylePr w:type="firstCol">
      <w:rPr>
        <w:b/>
        <w:color w:val="CFCDCD" w:themeColor="accent2" w:themeTint="97" w:themeShade="95"/>
      </w:rPr>
    </w:tblStylePr>
    <w:tblStylePr w:type="lastCol">
      <w:rPr>
        <w:b/>
        <w:color w:val="CFCDCD" w:themeColor="accent2" w:themeTint="97" w:themeShade="95"/>
      </w:rPr>
    </w:tblStylePr>
    <w:tblStylePr w:type="band1Vert">
      <w:tblPr/>
      <w:tcPr>
        <w:shd w:val="clear" w:color="EAE9E9" w:fill="EAE9E9" w:themeFill="accent2" w:themeFillTint="40"/>
      </w:tcPr>
    </w:tblStylePr>
    <w:tblStylePr w:type="band1Horz">
      <w:rPr>
        <w:color w:val="CFCDCD" w:themeColor="accent2" w:themeTint="97" w:themeShade="95"/>
        <w:sz w:val="22"/>
      </w:rPr>
      <w:tblPr/>
      <w:tcPr>
        <w:shd w:val="clear" w:color="EAE9E9" w:fill="EAE9E9" w:themeFill="accent2" w:themeFillTint="40"/>
      </w:tcPr>
    </w:tblStylePr>
    <w:tblStylePr w:type="band2Horz">
      <w:rPr>
        <w:color w:val="CFCDCD"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ADA9A9" w:themeColor="accent3" w:themeTint="98"/>
        <w:bottom w:val="single" w:sz="4" w:space="0" w:color="ADA9A9" w:themeColor="accent3" w:themeTint="98"/>
      </w:tblBorders>
    </w:tblPr>
    <w:tblStylePr w:type="firstRow">
      <w:rPr>
        <w:b/>
        <w:color w:val="ADA9A9" w:themeColor="accent3" w:themeTint="98" w:themeShade="95"/>
      </w:rPr>
      <w:tblPr/>
      <w:tcPr>
        <w:tcBorders>
          <w:bottom w:val="single" w:sz="4" w:space="0" w:color="757070" w:themeColor="accent3"/>
        </w:tcBorders>
      </w:tcPr>
    </w:tblStylePr>
    <w:tblStylePr w:type="lastRow">
      <w:rPr>
        <w:b/>
        <w:color w:val="ADA9A9" w:themeColor="accent3" w:themeTint="98" w:themeShade="95"/>
      </w:rPr>
      <w:tblPr/>
      <w:tcPr>
        <w:tcBorders>
          <w:top w:val="single" w:sz="4" w:space="0" w:color="757070" w:themeColor="accent3"/>
        </w:tcBorders>
      </w:tcPr>
    </w:tblStylePr>
    <w:tblStylePr w:type="firstCol">
      <w:rPr>
        <w:b/>
        <w:color w:val="ADA9A9" w:themeColor="accent3" w:themeTint="98" w:themeShade="95"/>
      </w:rPr>
    </w:tblStylePr>
    <w:tblStylePr w:type="lastCol">
      <w:rPr>
        <w:b/>
        <w:color w:val="ADA9A9" w:themeColor="accent3" w:themeTint="98" w:themeShade="95"/>
      </w:rPr>
    </w:tblStylePr>
    <w:tblStylePr w:type="band1Vert">
      <w:tblPr/>
      <w:tcPr>
        <w:shd w:val="clear" w:color="DCDADA" w:fill="DCDADA" w:themeFill="accent3" w:themeFillTint="40"/>
      </w:tcPr>
    </w:tblStylePr>
    <w:tblStylePr w:type="band1Horz">
      <w:rPr>
        <w:color w:val="ADA9A9" w:themeColor="accent3" w:themeTint="98" w:themeShade="95"/>
        <w:sz w:val="22"/>
      </w:rPr>
      <w:tblPr/>
      <w:tcPr>
        <w:shd w:val="clear" w:color="DCDADA" w:fill="DCDADA" w:themeFill="accent3" w:themeFillTint="40"/>
      </w:tcPr>
    </w:tblStylePr>
    <w:tblStylePr w:type="band2Horz">
      <w:rPr>
        <w:color w:val="ADA9A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ABA8A8" w:themeColor="accent4" w:themeTint="9A"/>
        <w:bottom w:val="single" w:sz="4" w:space="0" w:color="ABA8A8" w:themeColor="accent4" w:themeTint="9A"/>
      </w:tblBorders>
    </w:tblPr>
    <w:tblStylePr w:type="firstRow">
      <w:rPr>
        <w:b/>
        <w:color w:val="ABA8A8" w:themeColor="accent4" w:themeTint="9A" w:themeShade="95"/>
      </w:rPr>
      <w:tblPr/>
      <w:tcPr>
        <w:tcBorders>
          <w:bottom w:val="single" w:sz="4" w:space="0" w:color="757070" w:themeColor="accent4"/>
        </w:tcBorders>
      </w:tcPr>
    </w:tblStylePr>
    <w:tblStylePr w:type="lastRow">
      <w:rPr>
        <w:b/>
        <w:color w:val="ABA8A8" w:themeColor="accent4" w:themeTint="9A" w:themeShade="95"/>
      </w:rPr>
      <w:tblPr/>
      <w:tcPr>
        <w:tcBorders>
          <w:top w:val="single" w:sz="4" w:space="0" w:color="757070" w:themeColor="accent4"/>
        </w:tcBorders>
      </w:tcPr>
    </w:tblStylePr>
    <w:tblStylePr w:type="firstCol">
      <w:rPr>
        <w:b/>
        <w:color w:val="ABA8A8" w:themeColor="accent4" w:themeTint="9A" w:themeShade="95"/>
      </w:rPr>
    </w:tblStylePr>
    <w:tblStylePr w:type="lastCol">
      <w:rPr>
        <w:b/>
        <w:color w:val="ABA8A8" w:themeColor="accent4" w:themeTint="9A" w:themeShade="95"/>
      </w:rPr>
    </w:tblStylePr>
    <w:tblStylePr w:type="band1Vert">
      <w:tblPr/>
      <w:tcPr>
        <w:shd w:val="clear" w:color="DCDADA" w:fill="DCDADA" w:themeFill="accent4" w:themeFillTint="40"/>
      </w:tcPr>
    </w:tblStylePr>
    <w:tblStylePr w:type="band1Horz">
      <w:rPr>
        <w:color w:val="ABA8A8" w:themeColor="accent4" w:themeTint="9A" w:themeShade="95"/>
        <w:sz w:val="22"/>
      </w:rPr>
      <w:tblPr/>
      <w:tcPr>
        <w:shd w:val="clear" w:color="DCDADA" w:fill="DCDADA" w:themeFill="accent4" w:themeFillTint="40"/>
      </w:tcPr>
    </w:tblStylePr>
    <w:tblStylePr w:type="band2Horz">
      <w:rPr>
        <w:color w:val="ABA8A8"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898585" w:themeColor="accent5" w:themeTint="9A"/>
        <w:bottom w:val="single" w:sz="4" w:space="0" w:color="898585" w:themeColor="accent5" w:themeTint="9A"/>
      </w:tblBorders>
    </w:tblPr>
    <w:tblStylePr w:type="firstRow">
      <w:rPr>
        <w:b/>
        <w:color w:val="898585" w:themeColor="accent5" w:themeTint="9A" w:themeShade="95"/>
      </w:rPr>
      <w:tblPr/>
      <w:tcPr>
        <w:tcBorders>
          <w:bottom w:val="single" w:sz="4" w:space="0" w:color="3A3838" w:themeColor="accent5"/>
        </w:tcBorders>
      </w:tcPr>
    </w:tblStylePr>
    <w:tblStylePr w:type="lastRow">
      <w:rPr>
        <w:b/>
        <w:color w:val="898585" w:themeColor="accent5" w:themeTint="9A" w:themeShade="95"/>
      </w:rPr>
      <w:tblPr/>
      <w:tcPr>
        <w:tcBorders>
          <w:top w:val="single" w:sz="4" w:space="0" w:color="3A3838" w:themeColor="accent5"/>
        </w:tcBorders>
      </w:tcPr>
    </w:tblStylePr>
    <w:tblStylePr w:type="firstCol">
      <w:rPr>
        <w:b/>
        <w:color w:val="898585" w:themeColor="accent5" w:themeTint="9A" w:themeShade="95"/>
      </w:rPr>
    </w:tblStylePr>
    <w:tblStylePr w:type="lastCol">
      <w:rPr>
        <w:b/>
        <w:color w:val="898585" w:themeColor="accent5" w:themeTint="9A" w:themeShade="95"/>
      </w:rPr>
    </w:tblStylePr>
    <w:tblStylePr w:type="band1Vert">
      <w:tblPr/>
      <w:tcPr>
        <w:shd w:val="clear" w:color="CECCCC" w:fill="CECCCC" w:themeFill="accent5" w:themeFillTint="40"/>
      </w:tcPr>
    </w:tblStylePr>
    <w:tblStylePr w:type="band1Horz">
      <w:rPr>
        <w:color w:val="898585" w:themeColor="accent5" w:themeTint="9A" w:themeShade="95"/>
        <w:sz w:val="22"/>
      </w:rPr>
      <w:tblPr/>
      <w:tcPr>
        <w:shd w:val="clear" w:color="CECCCC" w:fill="CECCCC" w:themeFill="accent5" w:themeFillTint="40"/>
      </w:tcPr>
    </w:tblStylePr>
    <w:tblStylePr w:type="band2Horz">
      <w:rPr>
        <w:color w:val="89858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767171" w:themeColor="accent6" w:themeTint="98"/>
        <w:bottom w:val="single" w:sz="4" w:space="0" w:color="767171" w:themeColor="accent6" w:themeTint="98"/>
      </w:tblBorders>
    </w:tblPr>
    <w:tblStylePr w:type="firstRow">
      <w:rPr>
        <w:b/>
        <w:color w:val="767171" w:themeColor="accent6" w:themeTint="98" w:themeShade="95"/>
      </w:rPr>
      <w:tblPr/>
      <w:tcPr>
        <w:tcBorders>
          <w:bottom w:val="single" w:sz="4" w:space="0" w:color="171616" w:themeColor="accent6"/>
        </w:tcBorders>
      </w:tcPr>
    </w:tblStylePr>
    <w:tblStylePr w:type="lastRow">
      <w:rPr>
        <w:b/>
        <w:color w:val="767171" w:themeColor="accent6" w:themeTint="98" w:themeShade="95"/>
      </w:rPr>
      <w:tblPr/>
      <w:tcPr>
        <w:tcBorders>
          <w:top w:val="single" w:sz="4" w:space="0" w:color="171616" w:themeColor="accent6"/>
        </w:tcBorders>
      </w:tcPr>
    </w:tblStylePr>
    <w:tblStylePr w:type="firstCol">
      <w:rPr>
        <w:b/>
        <w:color w:val="767171" w:themeColor="accent6" w:themeTint="98" w:themeShade="95"/>
      </w:rPr>
    </w:tblStylePr>
    <w:tblStylePr w:type="lastCol">
      <w:rPr>
        <w:b/>
        <w:color w:val="767171" w:themeColor="accent6" w:themeTint="98" w:themeShade="95"/>
      </w:rPr>
    </w:tblStylePr>
    <w:tblStylePr w:type="band1Vert">
      <w:tblPr/>
      <w:tcPr>
        <w:shd w:val="clear" w:color="C5C3C3" w:fill="C5C3C3" w:themeFill="accent6" w:themeFillTint="40"/>
      </w:tcPr>
    </w:tblStylePr>
    <w:tblStylePr w:type="band1Horz">
      <w:rPr>
        <w:color w:val="767171" w:themeColor="accent6" w:themeTint="98" w:themeShade="95"/>
        <w:sz w:val="22"/>
      </w:rPr>
      <w:tblPr/>
      <w:tcPr>
        <w:shd w:val="clear" w:color="C5C3C3" w:fill="C5C3C3" w:themeFill="accent6" w:themeFillTint="40"/>
      </w:tcPr>
    </w:tblStylePr>
    <w:tblStylePr w:type="band2Horz">
      <w:rPr>
        <w:color w:val="767171"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E7E6E6" w:themeColor="accent1"/>
      </w:tblBorders>
    </w:tblPr>
    <w:tblStylePr w:type="firstRow">
      <w:rPr>
        <w:i/>
        <w:color w:val="898484" w:themeColor="accent1" w:themeShade="95"/>
        <w:sz w:val="22"/>
      </w:rPr>
      <w:tblPr/>
      <w:tcPr>
        <w:tcBorders>
          <w:top w:val="none" w:sz="4" w:space="0" w:color="000000"/>
          <w:left w:val="none" w:sz="4" w:space="0" w:color="000000"/>
          <w:bottom w:val="single" w:sz="4" w:space="0" w:color="E7E6E6" w:themeColor="accent1"/>
          <w:right w:val="none" w:sz="4" w:space="0" w:color="000000"/>
        </w:tcBorders>
        <w:shd w:val="clear" w:color="FFFFFF" w:fill="FFFFFF" w:themeFill="light1"/>
      </w:tcPr>
    </w:tblStylePr>
    <w:tblStylePr w:type="lastRow">
      <w:rPr>
        <w:i/>
        <w:color w:val="898484" w:themeColor="accent1" w:themeShade="95"/>
        <w:sz w:val="22"/>
      </w:rPr>
      <w:tblPr/>
      <w:tcPr>
        <w:tcBorders>
          <w:top w:val="single" w:sz="4" w:space="0" w:color="E7E6E6"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898484" w:themeColor="accent1" w:themeShade="95"/>
        <w:sz w:val="22"/>
      </w:rPr>
      <w:tblPr/>
      <w:tcPr>
        <w:tcBorders>
          <w:top w:val="none" w:sz="4" w:space="0" w:color="000000"/>
          <w:left w:val="none" w:sz="4" w:space="0" w:color="000000"/>
          <w:bottom w:val="none" w:sz="4" w:space="0" w:color="000000"/>
          <w:right w:val="single" w:sz="4" w:space="0" w:color="E7E6E6" w:themeColor="accent1"/>
        </w:tcBorders>
        <w:shd w:val="clear" w:color="FFFFFF" w:fill="auto"/>
      </w:tcPr>
    </w:tblStylePr>
    <w:tblStylePr w:type="lastCol">
      <w:rPr>
        <w:i/>
        <w:color w:val="898484" w:themeColor="accent1" w:themeShade="95"/>
        <w:sz w:val="22"/>
      </w:rPr>
      <w:tblPr/>
      <w:tcPr>
        <w:tcBorders>
          <w:top w:val="none" w:sz="4" w:space="0" w:color="000000"/>
          <w:left w:val="single" w:sz="4" w:space="0" w:color="E7E6E6" w:themeColor="accent1"/>
          <w:bottom w:val="none" w:sz="4" w:space="0" w:color="000000"/>
          <w:right w:val="none" w:sz="4" w:space="0" w:color="000000"/>
        </w:tcBorders>
        <w:shd w:val="clear" w:color="FFFFFF" w:fill="auto"/>
      </w:tcPr>
    </w:tblStylePr>
    <w:tblStylePr w:type="band1Vert">
      <w:tblPr/>
      <w:tcPr>
        <w:shd w:val="clear" w:color="F9F8F8" w:fill="F9F8F8" w:themeFill="accent1" w:themeFillTint="40"/>
      </w:tcPr>
    </w:tblStylePr>
    <w:tblStylePr w:type="band1Horz">
      <w:rPr>
        <w:color w:val="898484" w:themeColor="accent1" w:themeShade="95"/>
        <w:sz w:val="22"/>
      </w:rPr>
      <w:tblPr/>
      <w:tcPr>
        <w:shd w:val="clear" w:color="F9F8F8" w:fill="F9F8F8" w:themeFill="accent1" w:themeFillTint="40"/>
      </w:tcPr>
    </w:tblStylePr>
    <w:tblStylePr w:type="band2Horz">
      <w:rPr>
        <w:color w:val="898484"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CFCDCD" w:themeColor="accent2" w:themeTint="97"/>
      </w:tblBorders>
    </w:tblPr>
    <w:tblStylePr w:type="firstRow">
      <w:rPr>
        <w:i/>
        <w:color w:val="CFCDCD" w:themeColor="accent2" w:themeTint="97" w:themeShade="95"/>
        <w:sz w:val="22"/>
      </w:rPr>
      <w:tblPr/>
      <w:tcPr>
        <w:tcBorders>
          <w:top w:val="none" w:sz="4" w:space="0" w:color="000000"/>
          <w:left w:val="none" w:sz="4" w:space="0" w:color="000000"/>
          <w:bottom w:val="single" w:sz="4" w:space="0" w:color="AEABAB" w:themeColor="accent2"/>
          <w:right w:val="none" w:sz="4" w:space="0" w:color="000000"/>
        </w:tcBorders>
        <w:shd w:val="clear" w:color="FFFFFF" w:fill="FFFFFF" w:themeFill="light1"/>
      </w:tcPr>
    </w:tblStylePr>
    <w:tblStylePr w:type="lastRow">
      <w:rPr>
        <w:i/>
        <w:color w:val="CFCDCD" w:themeColor="accent2" w:themeTint="97" w:themeShade="95"/>
        <w:sz w:val="22"/>
      </w:rPr>
      <w:tblPr/>
      <w:tcPr>
        <w:tcBorders>
          <w:top w:val="single" w:sz="4" w:space="0" w:color="AEABAB"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FCDCD" w:themeColor="accent2" w:themeTint="97" w:themeShade="95"/>
        <w:sz w:val="22"/>
      </w:rPr>
      <w:tblPr/>
      <w:tcPr>
        <w:tcBorders>
          <w:top w:val="none" w:sz="4" w:space="0" w:color="000000"/>
          <w:left w:val="none" w:sz="4" w:space="0" w:color="000000"/>
          <w:bottom w:val="none" w:sz="4" w:space="0" w:color="000000"/>
          <w:right w:val="single" w:sz="4" w:space="0" w:color="AEABAB" w:themeColor="accent2"/>
        </w:tcBorders>
        <w:shd w:val="clear" w:color="FFFFFF" w:fill="auto"/>
      </w:tcPr>
    </w:tblStylePr>
    <w:tblStylePr w:type="lastCol">
      <w:rPr>
        <w:i/>
        <w:color w:val="CFCDCD" w:themeColor="accent2" w:themeTint="97" w:themeShade="95"/>
        <w:sz w:val="22"/>
      </w:rPr>
      <w:tblPr/>
      <w:tcPr>
        <w:tcBorders>
          <w:top w:val="none" w:sz="4" w:space="0" w:color="000000"/>
          <w:left w:val="single" w:sz="4" w:space="0" w:color="AEABAB" w:themeColor="accent2"/>
          <w:bottom w:val="none" w:sz="4" w:space="0" w:color="000000"/>
          <w:right w:val="none" w:sz="4" w:space="0" w:color="000000"/>
        </w:tcBorders>
        <w:shd w:val="clear" w:color="FFFFFF" w:fill="auto"/>
      </w:tcPr>
    </w:tblStylePr>
    <w:tblStylePr w:type="band1Vert">
      <w:tblPr/>
      <w:tcPr>
        <w:shd w:val="clear" w:color="EAE9E9" w:fill="EAE9E9" w:themeFill="accent2" w:themeFillTint="40"/>
      </w:tcPr>
    </w:tblStylePr>
    <w:tblStylePr w:type="band1Horz">
      <w:rPr>
        <w:color w:val="CFCDCD" w:themeColor="accent2" w:themeTint="97" w:themeShade="95"/>
        <w:sz w:val="22"/>
      </w:rPr>
      <w:tblPr/>
      <w:tcPr>
        <w:shd w:val="clear" w:color="EAE9E9" w:fill="EAE9E9" w:themeFill="accent2" w:themeFillTint="40"/>
      </w:tcPr>
    </w:tblStylePr>
    <w:tblStylePr w:type="band2Horz">
      <w:rPr>
        <w:color w:val="CFCDCD"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ADA9A9" w:themeColor="accent3" w:themeTint="98"/>
      </w:tblBorders>
    </w:tblPr>
    <w:tblStylePr w:type="firstRow">
      <w:rPr>
        <w:i/>
        <w:color w:val="ADA9A9" w:themeColor="accent3" w:themeTint="98" w:themeShade="95"/>
        <w:sz w:val="22"/>
      </w:rPr>
      <w:tblPr/>
      <w:tcPr>
        <w:tcBorders>
          <w:top w:val="none" w:sz="4" w:space="0" w:color="000000"/>
          <w:left w:val="none" w:sz="4" w:space="0" w:color="000000"/>
          <w:bottom w:val="single" w:sz="4" w:space="0" w:color="757070" w:themeColor="accent3"/>
          <w:right w:val="none" w:sz="4" w:space="0" w:color="000000"/>
        </w:tcBorders>
        <w:shd w:val="clear" w:color="FFFFFF" w:fill="FFFFFF" w:themeFill="light1"/>
      </w:tcPr>
    </w:tblStylePr>
    <w:tblStylePr w:type="lastRow">
      <w:rPr>
        <w:i/>
        <w:color w:val="ADA9A9" w:themeColor="accent3" w:themeTint="98" w:themeShade="95"/>
        <w:sz w:val="22"/>
      </w:rPr>
      <w:tblPr/>
      <w:tcPr>
        <w:tcBorders>
          <w:top w:val="single" w:sz="4" w:space="0" w:color="757070"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DA9A9" w:themeColor="accent3" w:themeTint="98" w:themeShade="95"/>
        <w:sz w:val="22"/>
      </w:rPr>
      <w:tblPr/>
      <w:tcPr>
        <w:tcBorders>
          <w:top w:val="none" w:sz="4" w:space="0" w:color="000000"/>
          <w:left w:val="none" w:sz="4" w:space="0" w:color="000000"/>
          <w:bottom w:val="none" w:sz="4" w:space="0" w:color="000000"/>
          <w:right w:val="single" w:sz="4" w:space="0" w:color="757070" w:themeColor="accent3"/>
        </w:tcBorders>
        <w:shd w:val="clear" w:color="FFFFFF" w:fill="auto"/>
      </w:tcPr>
    </w:tblStylePr>
    <w:tblStylePr w:type="lastCol">
      <w:rPr>
        <w:i/>
        <w:color w:val="ADA9A9" w:themeColor="accent3" w:themeTint="98" w:themeShade="95"/>
        <w:sz w:val="22"/>
      </w:rPr>
      <w:tblPr/>
      <w:tcPr>
        <w:tcBorders>
          <w:top w:val="none" w:sz="4" w:space="0" w:color="000000"/>
          <w:left w:val="single" w:sz="4" w:space="0" w:color="757070" w:themeColor="accent3"/>
          <w:bottom w:val="none" w:sz="4" w:space="0" w:color="000000"/>
          <w:right w:val="none" w:sz="4" w:space="0" w:color="000000"/>
        </w:tcBorders>
        <w:shd w:val="clear" w:color="FFFFFF" w:fill="auto"/>
      </w:tcPr>
    </w:tblStylePr>
    <w:tblStylePr w:type="band1Vert">
      <w:tblPr/>
      <w:tcPr>
        <w:shd w:val="clear" w:color="DCDADA" w:fill="DCDADA" w:themeFill="accent3" w:themeFillTint="40"/>
      </w:tcPr>
    </w:tblStylePr>
    <w:tblStylePr w:type="band1Horz">
      <w:rPr>
        <w:color w:val="ADA9A9" w:themeColor="accent3" w:themeTint="98" w:themeShade="95"/>
        <w:sz w:val="22"/>
      </w:rPr>
      <w:tblPr/>
      <w:tcPr>
        <w:shd w:val="clear" w:color="DCDADA" w:fill="DCDADA" w:themeFill="accent3" w:themeFillTint="40"/>
      </w:tcPr>
    </w:tblStylePr>
    <w:tblStylePr w:type="band2Horz">
      <w:rPr>
        <w:color w:val="ADA9A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ABA8A8" w:themeColor="accent4" w:themeTint="9A"/>
      </w:tblBorders>
    </w:tblPr>
    <w:tblStylePr w:type="firstRow">
      <w:rPr>
        <w:i/>
        <w:color w:val="ABA8A8" w:themeColor="accent4" w:themeTint="9A" w:themeShade="95"/>
        <w:sz w:val="22"/>
      </w:rPr>
      <w:tblPr/>
      <w:tcPr>
        <w:tcBorders>
          <w:top w:val="none" w:sz="4" w:space="0" w:color="000000"/>
          <w:left w:val="none" w:sz="4" w:space="0" w:color="000000"/>
          <w:bottom w:val="single" w:sz="4" w:space="0" w:color="757070" w:themeColor="accent4"/>
          <w:right w:val="none" w:sz="4" w:space="0" w:color="000000"/>
        </w:tcBorders>
        <w:shd w:val="clear" w:color="FFFFFF" w:fill="FFFFFF" w:themeFill="light1"/>
      </w:tcPr>
    </w:tblStylePr>
    <w:tblStylePr w:type="lastRow">
      <w:rPr>
        <w:i/>
        <w:color w:val="ABA8A8" w:themeColor="accent4" w:themeTint="9A" w:themeShade="95"/>
        <w:sz w:val="22"/>
      </w:rPr>
      <w:tblPr/>
      <w:tcPr>
        <w:tcBorders>
          <w:top w:val="single" w:sz="4" w:space="0" w:color="75707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BA8A8" w:themeColor="accent4" w:themeTint="9A" w:themeShade="95"/>
        <w:sz w:val="22"/>
      </w:rPr>
      <w:tblPr/>
      <w:tcPr>
        <w:tcBorders>
          <w:top w:val="none" w:sz="4" w:space="0" w:color="000000"/>
          <w:left w:val="none" w:sz="4" w:space="0" w:color="000000"/>
          <w:bottom w:val="none" w:sz="4" w:space="0" w:color="000000"/>
          <w:right w:val="single" w:sz="4" w:space="0" w:color="757070" w:themeColor="accent4"/>
        </w:tcBorders>
        <w:shd w:val="clear" w:color="FFFFFF" w:fill="auto"/>
      </w:tcPr>
    </w:tblStylePr>
    <w:tblStylePr w:type="lastCol">
      <w:rPr>
        <w:i/>
        <w:color w:val="ABA8A8" w:themeColor="accent4" w:themeTint="9A" w:themeShade="95"/>
        <w:sz w:val="22"/>
      </w:rPr>
      <w:tblPr/>
      <w:tcPr>
        <w:tcBorders>
          <w:top w:val="none" w:sz="4" w:space="0" w:color="000000"/>
          <w:left w:val="single" w:sz="4" w:space="0" w:color="757070" w:themeColor="accent4"/>
          <w:bottom w:val="none" w:sz="4" w:space="0" w:color="000000"/>
          <w:right w:val="none" w:sz="4" w:space="0" w:color="000000"/>
        </w:tcBorders>
        <w:shd w:val="clear" w:color="FFFFFF" w:fill="auto"/>
      </w:tcPr>
    </w:tblStylePr>
    <w:tblStylePr w:type="band1Vert">
      <w:tblPr/>
      <w:tcPr>
        <w:shd w:val="clear" w:color="DCDADA" w:fill="DCDADA" w:themeFill="accent4" w:themeFillTint="40"/>
      </w:tcPr>
    </w:tblStylePr>
    <w:tblStylePr w:type="band1Horz">
      <w:rPr>
        <w:color w:val="ABA8A8" w:themeColor="accent4" w:themeTint="9A" w:themeShade="95"/>
        <w:sz w:val="22"/>
      </w:rPr>
      <w:tblPr/>
      <w:tcPr>
        <w:shd w:val="clear" w:color="DCDADA" w:fill="DCDADA" w:themeFill="accent4" w:themeFillTint="40"/>
      </w:tcPr>
    </w:tblStylePr>
    <w:tblStylePr w:type="band2Horz">
      <w:rPr>
        <w:color w:val="ABA8A8"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898585" w:themeColor="accent5" w:themeTint="9A"/>
      </w:tblBorders>
    </w:tblPr>
    <w:tblStylePr w:type="firstRow">
      <w:rPr>
        <w:i/>
        <w:color w:val="898585" w:themeColor="accent5" w:themeTint="9A" w:themeShade="95"/>
        <w:sz w:val="22"/>
      </w:rPr>
      <w:tblPr/>
      <w:tcPr>
        <w:tcBorders>
          <w:top w:val="none" w:sz="4" w:space="0" w:color="000000"/>
          <w:left w:val="none" w:sz="4" w:space="0" w:color="000000"/>
          <w:bottom w:val="single" w:sz="4" w:space="0" w:color="3A3838" w:themeColor="accent5"/>
          <w:right w:val="none" w:sz="4" w:space="0" w:color="000000"/>
        </w:tcBorders>
        <w:shd w:val="clear" w:color="FFFFFF" w:fill="FFFFFF" w:themeFill="light1"/>
      </w:tcPr>
    </w:tblStylePr>
    <w:tblStylePr w:type="lastRow">
      <w:rPr>
        <w:i/>
        <w:color w:val="898585" w:themeColor="accent5" w:themeTint="9A" w:themeShade="95"/>
        <w:sz w:val="22"/>
      </w:rPr>
      <w:tblPr/>
      <w:tcPr>
        <w:tcBorders>
          <w:top w:val="single" w:sz="4" w:space="0" w:color="3A3838"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898585" w:themeColor="accent5" w:themeTint="9A" w:themeShade="95"/>
        <w:sz w:val="22"/>
      </w:rPr>
      <w:tblPr/>
      <w:tcPr>
        <w:tcBorders>
          <w:top w:val="none" w:sz="4" w:space="0" w:color="000000"/>
          <w:left w:val="none" w:sz="4" w:space="0" w:color="000000"/>
          <w:bottom w:val="none" w:sz="4" w:space="0" w:color="000000"/>
          <w:right w:val="single" w:sz="4" w:space="0" w:color="3A3838" w:themeColor="accent5"/>
        </w:tcBorders>
        <w:shd w:val="clear" w:color="FFFFFF" w:fill="auto"/>
      </w:tcPr>
    </w:tblStylePr>
    <w:tblStylePr w:type="lastCol">
      <w:rPr>
        <w:i/>
        <w:color w:val="898585" w:themeColor="accent5" w:themeTint="9A" w:themeShade="95"/>
        <w:sz w:val="22"/>
      </w:rPr>
      <w:tblPr/>
      <w:tcPr>
        <w:tcBorders>
          <w:top w:val="none" w:sz="4" w:space="0" w:color="000000"/>
          <w:left w:val="single" w:sz="4" w:space="0" w:color="3A3838" w:themeColor="accent5"/>
          <w:bottom w:val="none" w:sz="4" w:space="0" w:color="000000"/>
          <w:right w:val="none" w:sz="4" w:space="0" w:color="000000"/>
        </w:tcBorders>
        <w:shd w:val="clear" w:color="FFFFFF" w:fill="auto"/>
      </w:tcPr>
    </w:tblStylePr>
    <w:tblStylePr w:type="band1Vert">
      <w:tblPr/>
      <w:tcPr>
        <w:shd w:val="clear" w:color="CECCCC" w:fill="CECCCC" w:themeFill="accent5" w:themeFillTint="40"/>
      </w:tcPr>
    </w:tblStylePr>
    <w:tblStylePr w:type="band1Horz">
      <w:rPr>
        <w:color w:val="898585" w:themeColor="accent5" w:themeTint="9A" w:themeShade="95"/>
        <w:sz w:val="22"/>
      </w:rPr>
      <w:tblPr/>
      <w:tcPr>
        <w:shd w:val="clear" w:color="CECCCC" w:fill="CECCCC" w:themeFill="accent5" w:themeFillTint="40"/>
      </w:tcPr>
    </w:tblStylePr>
    <w:tblStylePr w:type="band2Horz">
      <w:rPr>
        <w:color w:val="89858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767171" w:themeColor="accent6" w:themeTint="98"/>
      </w:tblBorders>
    </w:tblPr>
    <w:tblStylePr w:type="firstRow">
      <w:rPr>
        <w:i/>
        <w:color w:val="767171" w:themeColor="accent6" w:themeTint="98" w:themeShade="95"/>
        <w:sz w:val="22"/>
      </w:rPr>
      <w:tblPr/>
      <w:tcPr>
        <w:tcBorders>
          <w:top w:val="none" w:sz="4" w:space="0" w:color="000000"/>
          <w:left w:val="none" w:sz="4" w:space="0" w:color="000000"/>
          <w:bottom w:val="single" w:sz="4" w:space="0" w:color="171616" w:themeColor="accent6"/>
          <w:right w:val="none" w:sz="4" w:space="0" w:color="000000"/>
        </w:tcBorders>
        <w:shd w:val="clear" w:color="FFFFFF" w:fill="FFFFFF" w:themeFill="light1"/>
      </w:tcPr>
    </w:tblStylePr>
    <w:tblStylePr w:type="lastRow">
      <w:rPr>
        <w:i/>
        <w:color w:val="767171" w:themeColor="accent6" w:themeTint="98" w:themeShade="95"/>
        <w:sz w:val="22"/>
      </w:rPr>
      <w:tblPr/>
      <w:tcPr>
        <w:tcBorders>
          <w:top w:val="single" w:sz="4" w:space="0" w:color="17161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67171" w:themeColor="accent6" w:themeTint="98" w:themeShade="95"/>
        <w:sz w:val="22"/>
      </w:rPr>
      <w:tblPr/>
      <w:tcPr>
        <w:tcBorders>
          <w:top w:val="none" w:sz="4" w:space="0" w:color="000000"/>
          <w:left w:val="none" w:sz="4" w:space="0" w:color="000000"/>
          <w:bottom w:val="none" w:sz="4" w:space="0" w:color="000000"/>
          <w:right w:val="single" w:sz="4" w:space="0" w:color="171616" w:themeColor="accent6"/>
        </w:tcBorders>
        <w:shd w:val="clear" w:color="FFFFFF" w:fill="auto"/>
      </w:tcPr>
    </w:tblStylePr>
    <w:tblStylePr w:type="lastCol">
      <w:rPr>
        <w:i/>
        <w:color w:val="767171" w:themeColor="accent6" w:themeTint="98" w:themeShade="95"/>
        <w:sz w:val="22"/>
      </w:rPr>
      <w:tblPr/>
      <w:tcPr>
        <w:tcBorders>
          <w:top w:val="none" w:sz="4" w:space="0" w:color="000000"/>
          <w:left w:val="single" w:sz="4" w:space="0" w:color="171616" w:themeColor="accent6"/>
          <w:bottom w:val="none" w:sz="4" w:space="0" w:color="000000"/>
          <w:right w:val="none" w:sz="4" w:space="0" w:color="000000"/>
        </w:tcBorders>
        <w:shd w:val="clear" w:color="FFFFFF" w:fill="auto"/>
      </w:tcPr>
    </w:tblStylePr>
    <w:tblStylePr w:type="band1Vert">
      <w:tblPr/>
      <w:tcPr>
        <w:shd w:val="clear" w:color="C5C3C3" w:fill="C5C3C3" w:themeFill="accent6" w:themeFillTint="40"/>
      </w:tcPr>
    </w:tblStylePr>
    <w:tblStylePr w:type="band1Horz">
      <w:rPr>
        <w:color w:val="767171" w:themeColor="accent6" w:themeTint="98" w:themeShade="95"/>
        <w:sz w:val="22"/>
      </w:rPr>
      <w:tblPr/>
      <w:tcPr>
        <w:shd w:val="clear" w:color="C5C3C3" w:fill="C5C3C3" w:themeFill="accent6" w:themeFillTint="40"/>
      </w:tcPr>
    </w:tblStylePr>
    <w:tblStylePr w:type="band2Horz">
      <w:rPr>
        <w:color w:val="767171" w:themeColor="accent6" w:themeTint="98" w:themeShade="95"/>
        <w:sz w:val="22"/>
      </w:rPr>
    </w:tblStylePr>
  </w:style>
  <w:style w:type="table" w:customStyle="1" w:styleId="Lined-Accent">
    <w:name w:val="Lined - Accent"/>
    <w:basedOn w:val="NormaleTabelle"/>
    <w:uiPriority w:val="99"/>
    <w:rPr>
      <w:sz w:val="20"/>
      <w:szCs w:val="20"/>
      <w:lang w:eastAsia="de-DE"/>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NormaleTabelle"/>
    <w:uiPriority w:val="99"/>
    <w:rPr>
      <w:sz w:val="20"/>
      <w:szCs w:val="20"/>
      <w:lang w:eastAsia="de-DE"/>
    </w:rPr>
    <w:tblPr>
      <w:tblStyleRowBandSize w:val="1"/>
      <w:tblStyleColBandSize w:val="1"/>
    </w:tblPr>
    <w:tblStylePr w:type="firstRow">
      <w:rPr>
        <w:sz w:val="22"/>
      </w:rPr>
      <w:tblPr/>
      <w:tcPr>
        <w:shd w:val="clear" w:color="E9E8E8" w:fill="E9E8E8" w:themeFill="accent1" w:themeFillTint="EA"/>
      </w:tcPr>
    </w:tblStylePr>
    <w:tblStylePr w:type="lastRow">
      <w:rPr>
        <w:sz w:val="22"/>
      </w:rPr>
      <w:tblPr/>
      <w:tcPr>
        <w:shd w:val="clear" w:color="E9E8E8" w:fill="E9E8E8" w:themeFill="accent1" w:themeFillTint="EA"/>
      </w:tcPr>
    </w:tblStylePr>
    <w:tblStylePr w:type="firstCol">
      <w:rPr>
        <w:sz w:val="22"/>
      </w:rPr>
      <w:tblPr/>
      <w:tcPr>
        <w:shd w:val="clear" w:color="E9E8E8" w:fill="E9E8E8" w:themeFill="accent1" w:themeFillTint="EA"/>
      </w:tcPr>
    </w:tblStylePr>
    <w:tblStylePr w:type="lastCol">
      <w:rPr>
        <w:sz w:val="22"/>
      </w:rPr>
      <w:tblPr/>
      <w:tcPr>
        <w:shd w:val="clear" w:color="E9E8E8" w:fill="E9E8E8" w:themeFill="accent1" w:themeFillTint="EA"/>
      </w:tcPr>
    </w:tblStylePr>
    <w:tblStylePr w:type="band1Vert">
      <w:rPr>
        <w:sz w:val="22"/>
      </w:rPr>
    </w:tblStylePr>
    <w:tblStylePr w:type="band2Vert">
      <w:rPr>
        <w:sz w:val="22"/>
      </w:rPr>
      <w:tblPr/>
      <w:tcPr>
        <w:shd w:val="clear" w:color="F7F7F7" w:fill="F7F7F7" w:themeFill="accent1" w:themeFillTint="50"/>
      </w:tcPr>
    </w:tblStylePr>
    <w:tblStylePr w:type="band1Horz">
      <w:rPr>
        <w:sz w:val="22"/>
      </w:rPr>
    </w:tblStylePr>
    <w:tblStylePr w:type="band2Horz">
      <w:rPr>
        <w:sz w:val="22"/>
      </w:rPr>
      <w:tblPr/>
      <w:tcPr>
        <w:shd w:val="clear" w:color="F7F7F7" w:fill="F7F7F7" w:themeFill="accent1" w:themeFillTint="50"/>
      </w:tcPr>
    </w:tblStylePr>
  </w:style>
  <w:style w:type="table" w:customStyle="1" w:styleId="Lined-Accent2">
    <w:name w:val="Lined - Accent 2"/>
    <w:basedOn w:val="NormaleTabelle"/>
    <w:uiPriority w:val="99"/>
    <w:rPr>
      <w:sz w:val="20"/>
      <w:szCs w:val="20"/>
      <w:lang w:eastAsia="de-DE"/>
    </w:rPr>
    <w:tblPr>
      <w:tblStyleRowBandSize w:val="1"/>
      <w:tblStyleColBandSize w:val="1"/>
    </w:tblPr>
    <w:tblStylePr w:type="firstRow">
      <w:rPr>
        <w:sz w:val="22"/>
      </w:rPr>
      <w:tblPr/>
      <w:tcPr>
        <w:shd w:val="clear" w:color="CFCDCD" w:fill="CFCDCD" w:themeFill="accent2" w:themeFillTint="97"/>
      </w:tcPr>
    </w:tblStylePr>
    <w:tblStylePr w:type="lastRow">
      <w:rPr>
        <w:sz w:val="22"/>
      </w:rPr>
      <w:tblPr/>
      <w:tcPr>
        <w:shd w:val="clear" w:color="CFCDCD" w:fill="CFCDCD" w:themeFill="accent2" w:themeFillTint="97"/>
      </w:tcPr>
    </w:tblStylePr>
    <w:tblStylePr w:type="firstCol">
      <w:rPr>
        <w:sz w:val="22"/>
      </w:rPr>
      <w:tblPr/>
      <w:tcPr>
        <w:shd w:val="clear" w:color="CFCDCD" w:fill="CFCDCD" w:themeFill="accent2" w:themeFillTint="97"/>
      </w:tcPr>
    </w:tblStylePr>
    <w:tblStylePr w:type="lastCol">
      <w:rPr>
        <w:sz w:val="22"/>
      </w:rPr>
      <w:tblPr/>
      <w:tcPr>
        <w:shd w:val="clear" w:color="CFCDCD" w:fill="CFCDCD" w:themeFill="accent2" w:themeFillTint="97"/>
      </w:tcPr>
    </w:tblStylePr>
    <w:tblStylePr w:type="band1Vert">
      <w:rPr>
        <w:sz w:val="22"/>
      </w:rPr>
    </w:tblStylePr>
    <w:tblStylePr w:type="band2Vert">
      <w:rPr>
        <w:sz w:val="22"/>
      </w:rPr>
      <w:tblPr/>
      <w:tcPr>
        <w:shd w:val="clear" w:color="EFEEEE" w:fill="EFEEEE" w:themeFill="accent2" w:themeFillTint="32"/>
      </w:tcPr>
    </w:tblStylePr>
    <w:tblStylePr w:type="band1Horz">
      <w:rPr>
        <w:sz w:val="22"/>
      </w:rPr>
    </w:tblStylePr>
    <w:tblStylePr w:type="band2Horz">
      <w:rPr>
        <w:sz w:val="22"/>
      </w:rPr>
      <w:tblPr/>
      <w:tcPr>
        <w:shd w:val="clear" w:color="EFEEEE" w:fill="EFEEEE" w:themeFill="accent2" w:themeFillTint="32"/>
      </w:tcPr>
    </w:tblStylePr>
  </w:style>
  <w:style w:type="table" w:customStyle="1" w:styleId="Lined-Accent3">
    <w:name w:val="Lined - Accent 3"/>
    <w:basedOn w:val="NormaleTabelle"/>
    <w:uiPriority w:val="99"/>
    <w:rPr>
      <w:sz w:val="20"/>
      <w:szCs w:val="20"/>
      <w:lang w:eastAsia="de-DE"/>
    </w:rPr>
    <w:tblPr>
      <w:tblStyleRowBandSize w:val="1"/>
      <w:tblStyleColBandSize w:val="1"/>
    </w:tblPr>
    <w:tblStylePr w:type="firstRow">
      <w:rPr>
        <w:sz w:val="22"/>
      </w:rPr>
      <w:tblPr/>
      <w:tcPr>
        <w:shd w:val="clear" w:color="757070" w:fill="757070" w:themeFill="accent3" w:themeFillTint="FE"/>
      </w:tcPr>
    </w:tblStylePr>
    <w:tblStylePr w:type="lastRow">
      <w:rPr>
        <w:sz w:val="22"/>
      </w:rPr>
      <w:tblPr/>
      <w:tcPr>
        <w:shd w:val="clear" w:color="757070" w:fill="757070" w:themeFill="accent3" w:themeFillTint="FE"/>
      </w:tcPr>
    </w:tblStylePr>
    <w:tblStylePr w:type="firstCol">
      <w:rPr>
        <w:sz w:val="22"/>
      </w:rPr>
      <w:tblPr/>
      <w:tcPr>
        <w:shd w:val="clear" w:color="757070" w:fill="757070" w:themeFill="accent3" w:themeFillTint="FE"/>
      </w:tcPr>
    </w:tblStylePr>
    <w:tblStylePr w:type="lastCol">
      <w:rPr>
        <w:sz w:val="22"/>
      </w:rPr>
      <w:tblPr/>
      <w:tcPr>
        <w:shd w:val="clear" w:color="757070" w:fill="757070" w:themeFill="accent3" w:themeFillTint="FE"/>
      </w:tcPr>
    </w:tblStylePr>
    <w:tblStylePr w:type="band1Vert">
      <w:rPr>
        <w:sz w:val="22"/>
      </w:rPr>
    </w:tblStylePr>
    <w:tblStylePr w:type="band2Vert">
      <w:rPr>
        <w:sz w:val="22"/>
      </w:rPr>
      <w:tblPr/>
      <w:tcPr>
        <w:shd w:val="clear" w:color="E3E1E1" w:fill="E3E1E1" w:themeFill="accent3" w:themeFillTint="34"/>
      </w:tcPr>
    </w:tblStylePr>
    <w:tblStylePr w:type="band1Horz">
      <w:rPr>
        <w:sz w:val="22"/>
      </w:rPr>
    </w:tblStylePr>
    <w:tblStylePr w:type="band2Horz">
      <w:rPr>
        <w:sz w:val="22"/>
      </w:rPr>
      <w:tblPr/>
      <w:tcPr>
        <w:shd w:val="clear" w:color="E3E1E1" w:fill="E3E1E1" w:themeFill="accent3" w:themeFillTint="34"/>
      </w:tcPr>
    </w:tblStylePr>
  </w:style>
  <w:style w:type="table" w:customStyle="1" w:styleId="Lined-Accent4">
    <w:name w:val="Lined - Accent 4"/>
    <w:basedOn w:val="NormaleTabelle"/>
    <w:uiPriority w:val="99"/>
    <w:rPr>
      <w:sz w:val="20"/>
      <w:szCs w:val="20"/>
      <w:lang w:eastAsia="de-DE"/>
    </w:rPr>
    <w:tblPr>
      <w:tblStyleRowBandSize w:val="1"/>
      <w:tblStyleColBandSize w:val="1"/>
    </w:tblPr>
    <w:tblStylePr w:type="firstRow">
      <w:rPr>
        <w:sz w:val="22"/>
      </w:rPr>
      <w:tblPr/>
      <w:tcPr>
        <w:shd w:val="clear" w:color="ABA8A8" w:fill="ABA8A8" w:themeFill="accent4" w:themeFillTint="9A"/>
      </w:tcPr>
    </w:tblStylePr>
    <w:tblStylePr w:type="lastRow">
      <w:rPr>
        <w:sz w:val="22"/>
      </w:rPr>
      <w:tblPr/>
      <w:tcPr>
        <w:shd w:val="clear" w:color="ABA8A8" w:fill="ABA8A8" w:themeFill="accent4" w:themeFillTint="9A"/>
      </w:tcPr>
    </w:tblStylePr>
    <w:tblStylePr w:type="firstCol">
      <w:rPr>
        <w:sz w:val="22"/>
      </w:rPr>
      <w:tblPr/>
      <w:tcPr>
        <w:shd w:val="clear" w:color="ABA8A8" w:fill="ABA8A8" w:themeFill="accent4" w:themeFillTint="9A"/>
      </w:tcPr>
    </w:tblStylePr>
    <w:tblStylePr w:type="lastCol">
      <w:rPr>
        <w:sz w:val="22"/>
      </w:rPr>
      <w:tblPr/>
      <w:tcPr>
        <w:shd w:val="clear" w:color="ABA8A8" w:fill="ABA8A8" w:themeFill="accent4" w:themeFillTint="9A"/>
      </w:tcPr>
    </w:tblStylePr>
    <w:tblStylePr w:type="band1Vert">
      <w:rPr>
        <w:sz w:val="22"/>
      </w:rPr>
    </w:tblStylePr>
    <w:tblStylePr w:type="band2Vert">
      <w:rPr>
        <w:sz w:val="22"/>
      </w:rPr>
      <w:tblPr/>
      <w:tcPr>
        <w:shd w:val="clear" w:color="E3E1E1" w:fill="E3E1E1" w:themeFill="accent4" w:themeFillTint="34"/>
      </w:tcPr>
    </w:tblStylePr>
    <w:tblStylePr w:type="band1Horz">
      <w:rPr>
        <w:sz w:val="22"/>
      </w:rPr>
    </w:tblStylePr>
    <w:tblStylePr w:type="band2Horz">
      <w:rPr>
        <w:sz w:val="22"/>
      </w:rPr>
      <w:tblPr/>
      <w:tcPr>
        <w:shd w:val="clear" w:color="E3E1E1" w:fill="E3E1E1" w:themeFill="accent4" w:themeFillTint="34"/>
      </w:tcPr>
    </w:tblStylePr>
  </w:style>
  <w:style w:type="table" w:customStyle="1" w:styleId="Lined-Accent5">
    <w:name w:val="Lined - Accent 5"/>
    <w:basedOn w:val="NormaleTabelle"/>
    <w:uiPriority w:val="99"/>
    <w:rPr>
      <w:sz w:val="20"/>
      <w:szCs w:val="20"/>
      <w:lang w:eastAsia="de-DE"/>
    </w:rPr>
    <w:tblPr>
      <w:tblStyleRowBandSize w:val="1"/>
      <w:tblStyleColBandSize w:val="1"/>
    </w:tblPr>
    <w:tblStylePr w:type="firstRow">
      <w:rPr>
        <w:sz w:val="22"/>
      </w:rPr>
      <w:tblPr/>
      <w:tcPr>
        <w:shd w:val="clear" w:color="3A3838" w:fill="3A3838" w:themeFill="accent5"/>
      </w:tcPr>
    </w:tblStylePr>
    <w:tblStylePr w:type="lastRow">
      <w:rPr>
        <w:sz w:val="22"/>
      </w:rPr>
      <w:tblPr/>
      <w:tcPr>
        <w:shd w:val="clear" w:color="3A3838" w:fill="3A3838" w:themeFill="accent5"/>
      </w:tcPr>
    </w:tblStylePr>
    <w:tblStylePr w:type="firstCol">
      <w:rPr>
        <w:sz w:val="22"/>
      </w:rPr>
      <w:tblPr/>
      <w:tcPr>
        <w:shd w:val="clear" w:color="3A3838" w:fill="3A3838" w:themeFill="accent5"/>
      </w:tcPr>
    </w:tblStylePr>
    <w:tblStylePr w:type="lastCol">
      <w:rPr>
        <w:sz w:val="22"/>
      </w:rPr>
      <w:tblPr/>
      <w:tcPr>
        <w:shd w:val="clear" w:color="3A3838" w:fill="3A3838" w:themeFill="accent5"/>
      </w:tcPr>
    </w:tblStylePr>
    <w:tblStylePr w:type="band1Vert">
      <w:rPr>
        <w:sz w:val="22"/>
      </w:rPr>
    </w:tblStylePr>
    <w:tblStylePr w:type="band2Vert">
      <w:rPr>
        <w:sz w:val="22"/>
      </w:rPr>
      <w:tblPr/>
      <w:tcPr>
        <w:shd w:val="clear" w:color="D7D5D5" w:fill="D7D5D5" w:themeFill="accent5" w:themeFillTint="34"/>
      </w:tcPr>
    </w:tblStylePr>
    <w:tblStylePr w:type="band1Horz">
      <w:rPr>
        <w:sz w:val="22"/>
      </w:rPr>
    </w:tblStylePr>
    <w:tblStylePr w:type="band2Horz">
      <w:rPr>
        <w:sz w:val="22"/>
      </w:rPr>
      <w:tblPr/>
      <w:tcPr>
        <w:shd w:val="clear" w:color="D7D5D5" w:fill="D7D5D5" w:themeFill="accent5" w:themeFillTint="34"/>
      </w:tcPr>
    </w:tblStylePr>
  </w:style>
  <w:style w:type="table" w:customStyle="1" w:styleId="Lined-Accent6">
    <w:name w:val="Lined - Accent 6"/>
    <w:basedOn w:val="NormaleTabelle"/>
    <w:uiPriority w:val="99"/>
    <w:rPr>
      <w:sz w:val="20"/>
      <w:szCs w:val="20"/>
      <w:lang w:eastAsia="de-DE"/>
    </w:rPr>
    <w:tblPr>
      <w:tblStyleRowBandSize w:val="1"/>
      <w:tblStyleColBandSize w:val="1"/>
    </w:tblPr>
    <w:tblStylePr w:type="firstRow">
      <w:rPr>
        <w:sz w:val="22"/>
      </w:rPr>
      <w:tblPr/>
      <w:tcPr>
        <w:shd w:val="clear" w:color="171616" w:fill="171616" w:themeFill="accent6"/>
      </w:tcPr>
    </w:tblStylePr>
    <w:tblStylePr w:type="lastRow">
      <w:rPr>
        <w:sz w:val="22"/>
      </w:rPr>
      <w:tblPr/>
      <w:tcPr>
        <w:shd w:val="clear" w:color="171616" w:fill="171616" w:themeFill="accent6"/>
      </w:tcPr>
    </w:tblStylePr>
    <w:tblStylePr w:type="firstCol">
      <w:rPr>
        <w:sz w:val="22"/>
      </w:rPr>
      <w:tblPr/>
      <w:tcPr>
        <w:shd w:val="clear" w:color="171616" w:fill="171616" w:themeFill="accent6"/>
      </w:tcPr>
    </w:tblStylePr>
    <w:tblStylePr w:type="lastCol">
      <w:rPr>
        <w:sz w:val="22"/>
      </w:rPr>
      <w:tblPr/>
      <w:tcPr>
        <w:shd w:val="clear" w:color="171616" w:fill="171616" w:themeFill="accent6"/>
      </w:tcPr>
    </w:tblStylePr>
    <w:tblStylePr w:type="band1Vert">
      <w:rPr>
        <w:sz w:val="22"/>
      </w:rPr>
    </w:tblStylePr>
    <w:tblStylePr w:type="band2Vert">
      <w:rPr>
        <w:sz w:val="22"/>
      </w:rPr>
      <w:tblPr/>
      <w:tcPr>
        <w:shd w:val="clear" w:color="D0CECE" w:fill="D0CECE" w:themeFill="accent6" w:themeFillTint="34"/>
      </w:tcPr>
    </w:tblStylePr>
    <w:tblStylePr w:type="band1Horz">
      <w:rPr>
        <w:sz w:val="22"/>
      </w:rPr>
    </w:tblStylePr>
    <w:tblStylePr w:type="band2Horz">
      <w:rPr>
        <w:sz w:val="22"/>
      </w:rPr>
      <w:tblPr/>
      <w:tcPr>
        <w:shd w:val="clear" w:color="D0CECE" w:fill="D0CECE" w:themeFill="accent6" w:themeFillTint="34"/>
      </w:tcPr>
    </w:tblStylePr>
  </w:style>
  <w:style w:type="table" w:customStyle="1" w:styleId="BorderedLined-Accent">
    <w:name w:val="Bordered &amp; Lined - Accent"/>
    <w:basedOn w:val="NormaleTabelle"/>
    <w:uiPriority w:val="99"/>
    <w:rPr>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NormaleTabelle"/>
    <w:uiPriority w:val="99"/>
    <w:rPr>
      <w:sz w:val="20"/>
      <w:szCs w:val="20"/>
      <w:lang w:eastAsia="de-DE"/>
    </w:rPr>
    <w:tblPr>
      <w:tblStyleRowBandSize w:val="1"/>
      <w:tblStyleColBandSize w:val="1"/>
      <w:tblBorders>
        <w:top w:val="single" w:sz="4" w:space="0" w:color="E7E6E6" w:themeColor="accent1"/>
        <w:left w:val="single" w:sz="4" w:space="0" w:color="E7E6E6" w:themeColor="accent1"/>
        <w:bottom w:val="single" w:sz="4" w:space="0" w:color="E7E6E6" w:themeColor="accent1"/>
        <w:right w:val="single" w:sz="4" w:space="0" w:color="E7E6E6" w:themeColor="accent1"/>
        <w:insideH w:val="single" w:sz="4" w:space="0" w:color="E7E6E6" w:themeColor="accent1"/>
        <w:insideV w:val="single" w:sz="4" w:space="0" w:color="E7E6E6" w:themeColor="accent1"/>
      </w:tblBorders>
    </w:tblPr>
    <w:tblStylePr w:type="firstRow">
      <w:rPr>
        <w:sz w:val="22"/>
      </w:rPr>
      <w:tblPr/>
      <w:tcPr>
        <w:shd w:val="clear" w:color="E9E8E8" w:fill="E9E8E8" w:themeFill="accent1" w:themeFillTint="EA"/>
      </w:tcPr>
    </w:tblStylePr>
    <w:tblStylePr w:type="lastRow">
      <w:rPr>
        <w:sz w:val="22"/>
      </w:rPr>
      <w:tblPr/>
      <w:tcPr>
        <w:shd w:val="clear" w:color="E9E8E8" w:fill="E9E8E8" w:themeFill="accent1" w:themeFillTint="EA"/>
      </w:tcPr>
    </w:tblStylePr>
    <w:tblStylePr w:type="firstCol">
      <w:rPr>
        <w:sz w:val="22"/>
      </w:rPr>
      <w:tblPr/>
      <w:tcPr>
        <w:shd w:val="clear" w:color="E9E8E8" w:fill="E9E8E8" w:themeFill="accent1" w:themeFillTint="EA"/>
      </w:tcPr>
    </w:tblStylePr>
    <w:tblStylePr w:type="lastCol">
      <w:rPr>
        <w:sz w:val="22"/>
      </w:rPr>
      <w:tblPr/>
      <w:tcPr>
        <w:shd w:val="clear" w:color="E9E8E8" w:fill="E9E8E8" w:themeFill="accent1" w:themeFillTint="EA"/>
      </w:tcPr>
    </w:tblStylePr>
    <w:tblStylePr w:type="band1Vert">
      <w:rPr>
        <w:sz w:val="22"/>
      </w:rPr>
    </w:tblStylePr>
    <w:tblStylePr w:type="band2Vert">
      <w:rPr>
        <w:sz w:val="22"/>
      </w:rPr>
      <w:tblPr/>
      <w:tcPr>
        <w:shd w:val="clear" w:color="F7F7F7" w:fill="F7F7F7" w:themeFill="accent1" w:themeFillTint="50"/>
      </w:tcPr>
    </w:tblStylePr>
    <w:tblStylePr w:type="band1Horz">
      <w:rPr>
        <w:sz w:val="22"/>
      </w:rPr>
    </w:tblStylePr>
    <w:tblStylePr w:type="band2Horz">
      <w:rPr>
        <w:sz w:val="22"/>
      </w:rPr>
      <w:tblPr/>
      <w:tcPr>
        <w:shd w:val="clear" w:color="F7F7F7" w:fill="F7F7F7" w:themeFill="accent1" w:themeFillTint="50"/>
      </w:tcPr>
    </w:tblStylePr>
  </w:style>
  <w:style w:type="table" w:customStyle="1" w:styleId="BorderedLined-Accent2">
    <w:name w:val="Bordered &amp; Lined - Accent 2"/>
    <w:basedOn w:val="NormaleTabelle"/>
    <w:uiPriority w:val="99"/>
    <w:rPr>
      <w:sz w:val="20"/>
      <w:szCs w:val="20"/>
      <w:lang w:eastAsia="de-DE"/>
    </w:rPr>
    <w:tblPr>
      <w:tblStyleRowBandSize w:val="1"/>
      <w:tblStyleColBandSize w:val="1"/>
      <w:tblBorders>
        <w:top w:val="single" w:sz="4" w:space="0" w:color="AEABAB" w:themeColor="accent2"/>
        <w:left w:val="single" w:sz="4" w:space="0" w:color="AEABAB" w:themeColor="accent2"/>
        <w:bottom w:val="single" w:sz="4" w:space="0" w:color="AEABAB" w:themeColor="accent2"/>
        <w:right w:val="single" w:sz="4" w:space="0" w:color="AEABAB" w:themeColor="accent2"/>
        <w:insideH w:val="single" w:sz="4" w:space="0" w:color="AEABAB" w:themeColor="accent2"/>
        <w:insideV w:val="single" w:sz="4" w:space="0" w:color="AEABAB" w:themeColor="accent2"/>
      </w:tblBorders>
    </w:tblPr>
    <w:tblStylePr w:type="firstRow">
      <w:rPr>
        <w:sz w:val="22"/>
      </w:rPr>
      <w:tblPr/>
      <w:tcPr>
        <w:shd w:val="clear" w:color="CFCDCD" w:fill="CFCDCD" w:themeFill="accent2" w:themeFillTint="97"/>
      </w:tcPr>
    </w:tblStylePr>
    <w:tblStylePr w:type="lastRow">
      <w:rPr>
        <w:sz w:val="22"/>
      </w:rPr>
      <w:tblPr/>
      <w:tcPr>
        <w:shd w:val="clear" w:color="CFCDCD" w:fill="CFCDCD" w:themeFill="accent2" w:themeFillTint="97"/>
      </w:tcPr>
    </w:tblStylePr>
    <w:tblStylePr w:type="firstCol">
      <w:rPr>
        <w:sz w:val="22"/>
      </w:rPr>
      <w:tblPr/>
      <w:tcPr>
        <w:shd w:val="clear" w:color="CFCDCD" w:fill="CFCDCD" w:themeFill="accent2" w:themeFillTint="97"/>
      </w:tcPr>
    </w:tblStylePr>
    <w:tblStylePr w:type="lastCol">
      <w:rPr>
        <w:sz w:val="22"/>
      </w:rPr>
      <w:tblPr/>
      <w:tcPr>
        <w:shd w:val="clear" w:color="CFCDCD" w:fill="CFCDCD" w:themeFill="accent2" w:themeFillTint="97"/>
      </w:tcPr>
    </w:tblStylePr>
    <w:tblStylePr w:type="band1Vert">
      <w:rPr>
        <w:sz w:val="22"/>
      </w:rPr>
    </w:tblStylePr>
    <w:tblStylePr w:type="band2Vert">
      <w:rPr>
        <w:sz w:val="22"/>
      </w:rPr>
      <w:tblPr/>
      <w:tcPr>
        <w:shd w:val="clear" w:color="EFEEEE" w:fill="EFEEEE" w:themeFill="accent2" w:themeFillTint="32"/>
      </w:tcPr>
    </w:tblStylePr>
    <w:tblStylePr w:type="band1Horz">
      <w:rPr>
        <w:sz w:val="22"/>
      </w:rPr>
    </w:tblStylePr>
    <w:tblStylePr w:type="band2Horz">
      <w:rPr>
        <w:sz w:val="22"/>
      </w:rPr>
      <w:tblPr/>
      <w:tcPr>
        <w:shd w:val="clear" w:color="EFEEEE" w:fill="EFEEEE" w:themeFill="accent2" w:themeFillTint="32"/>
      </w:tcPr>
    </w:tblStylePr>
  </w:style>
  <w:style w:type="table" w:customStyle="1" w:styleId="BorderedLined-Accent3">
    <w:name w:val="Bordered &amp; Lined - Accent 3"/>
    <w:basedOn w:val="NormaleTabelle"/>
    <w:uiPriority w:val="99"/>
    <w:rPr>
      <w:sz w:val="20"/>
      <w:szCs w:val="20"/>
      <w:lang w:eastAsia="de-DE"/>
    </w:rPr>
    <w:tblPr>
      <w:tblStyleRowBandSize w:val="1"/>
      <w:tblStyleColBandSize w:val="1"/>
      <w:tblBorders>
        <w:top w:val="single" w:sz="4" w:space="0" w:color="757070" w:themeColor="accent3"/>
        <w:left w:val="single" w:sz="4" w:space="0" w:color="757070" w:themeColor="accent3"/>
        <w:bottom w:val="single" w:sz="4" w:space="0" w:color="757070" w:themeColor="accent3"/>
        <w:right w:val="single" w:sz="4" w:space="0" w:color="757070" w:themeColor="accent3"/>
        <w:insideH w:val="single" w:sz="4" w:space="0" w:color="757070" w:themeColor="accent3"/>
        <w:insideV w:val="single" w:sz="4" w:space="0" w:color="757070" w:themeColor="accent3"/>
      </w:tblBorders>
    </w:tblPr>
    <w:tblStylePr w:type="firstRow">
      <w:rPr>
        <w:sz w:val="22"/>
      </w:rPr>
      <w:tblPr/>
      <w:tcPr>
        <w:shd w:val="clear" w:color="757070" w:fill="757070" w:themeFill="accent3" w:themeFillTint="FE"/>
      </w:tcPr>
    </w:tblStylePr>
    <w:tblStylePr w:type="lastRow">
      <w:rPr>
        <w:sz w:val="22"/>
      </w:rPr>
      <w:tblPr/>
      <w:tcPr>
        <w:shd w:val="clear" w:color="757070" w:fill="757070" w:themeFill="accent3" w:themeFillTint="FE"/>
      </w:tcPr>
    </w:tblStylePr>
    <w:tblStylePr w:type="firstCol">
      <w:rPr>
        <w:sz w:val="22"/>
      </w:rPr>
      <w:tblPr/>
      <w:tcPr>
        <w:shd w:val="clear" w:color="757070" w:fill="757070" w:themeFill="accent3" w:themeFillTint="FE"/>
      </w:tcPr>
    </w:tblStylePr>
    <w:tblStylePr w:type="lastCol">
      <w:rPr>
        <w:sz w:val="22"/>
      </w:rPr>
      <w:tblPr/>
      <w:tcPr>
        <w:shd w:val="clear" w:color="757070" w:fill="757070" w:themeFill="accent3" w:themeFillTint="FE"/>
      </w:tcPr>
    </w:tblStylePr>
    <w:tblStylePr w:type="band1Vert">
      <w:rPr>
        <w:sz w:val="22"/>
      </w:rPr>
    </w:tblStylePr>
    <w:tblStylePr w:type="band2Vert">
      <w:rPr>
        <w:sz w:val="22"/>
      </w:rPr>
      <w:tblPr/>
      <w:tcPr>
        <w:shd w:val="clear" w:color="E3E1E1" w:fill="E3E1E1" w:themeFill="accent3" w:themeFillTint="34"/>
      </w:tcPr>
    </w:tblStylePr>
    <w:tblStylePr w:type="band1Horz">
      <w:rPr>
        <w:sz w:val="22"/>
      </w:rPr>
    </w:tblStylePr>
    <w:tblStylePr w:type="band2Horz">
      <w:rPr>
        <w:sz w:val="22"/>
      </w:rPr>
      <w:tblPr/>
      <w:tcPr>
        <w:shd w:val="clear" w:color="E3E1E1" w:fill="E3E1E1" w:themeFill="accent3" w:themeFillTint="34"/>
      </w:tcPr>
    </w:tblStylePr>
  </w:style>
  <w:style w:type="table" w:customStyle="1" w:styleId="BorderedLined-Accent4">
    <w:name w:val="Bordered &amp; Lined - Accent 4"/>
    <w:basedOn w:val="NormaleTabelle"/>
    <w:uiPriority w:val="99"/>
    <w:rPr>
      <w:sz w:val="20"/>
      <w:szCs w:val="20"/>
      <w:lang w:eastAsia="de-DE"/>
    </w:rPr>
    <w:tblPr>
      <w:tblStyleRowBandSize w:val="1"/>
      <w:tblStyleColBandSize w:val="1"/>
      <w:tblBorders>
        <w:top w:val="single" w:sz="4" w:space="0" w:color="757070" w:themeColor="accent4"/>
        <w:left w:val="single" w:sz="4" w:space="0" w:color="757070" w:themeColor="accent4"/>
        <w:bottom w:val="single" w:sz="4" w:space="0" w:color="757070" w:themeColor="accent4"/>
        <w:right w:val="single" w:sz="4" w:space="0" w:color="757070" w:themeColor="accent4"/>
        <w:insideH w:val="single" w:sz="4" w:space="0" w:color="757070" w:themeColor="accent4"/>
        <w:insideV w:val="single" w:sz="4" w:space="0" w:color="757070" w:themeColor="accent4"/>
      </w:tblBorders>
    </w:tblPr>
    <w:tblStylePr w:type="firstRow">
      <w:rPr>
        <w:sz w:val="22"/>
      </w:rPr>
      <w:tblPr/>
      <w:tcPr>
        <w:shd w:val="clear" w:color="ABA8A8" w:fill="ABA8A8" w:themeFill="accent4" w:themeFillTint="9A"/>
      </w:tcPr>
    </w:tblStylePr>
    <w:tblStylePr w:type="lastRow">
      <w:rPr>
        <w:sz w:val="22"/>
      </w:rPr>
      <w:tblPr/>
      <w:tcPr>
        <w:shd w:val="clear" w:color="ABA8A8" w:fill="ABA8A8" w:themeFill="accent4" w:themeFillTint="9A"/>
      </w:tcPr>
    </w:tblStylePr>
    <w:tblStylePr w:type="firstCol">
      <w:rPr>
        <w:sz w:val="22"/>
      </w:rPr>
      <w:tblPr/>
      <w:tcPr>
        <w:shd w:val="clear" w:color="ABA8A8" w:fill="ABA8A8" w:themeFill="accent4" w:themeFillTint="9A"/>
      </w:tcPr>
    </w:tblStylePr>
    <w:tblStylePr w:type="lastCol">
      <w:rPr>
        <w:sz w:val="22"/>
      </w:rPr>
      <w:tblPr/>
      <w:tcPr>
        <w:shd w:val="clear" w:color="ABA8A8" w:fill="ABA8A8" w:themeFill="accent4" w:themeFillTint="9A"/>
      </w:tcPr>
    </w:tblStylePr>
    <w:tblStylePr w:type="band1Vert">
      <w:rPr>
        <w:sz w:val="22"/>
      </w:rPr>
    </w:tblStylePr>
    <w:tblStylePr w:type="band2Vert">
      <w:rPr>
        <w:sz w:val="22"/>
      </w:rPr>
      <w:tblPr/>
      <w:tcPr>
        <w:shd w:val="clear" w:color="E3E1E1" w:fill="E3E1E1" w:themeFill="accent4" w:themeFillTint="34"/>
      </w:tcPr>
    </w:tblStylePr>
    <w:tblStylePr w:type="band1Horz">
      <w:rPr>
        <w:sz w:val="22"/>
      </w:rPr>
    </w:tblStylePr>
    <w:tblStylePr w:type="band2Horz">
      <w:rPr>
        <w:sz w:val="22"/>
      </w:rPr>
      <w:tblPr/>
      <w:tcPr>
        <w:shd w:val="clear" w:color="E3E1E1" w:fill="E3E1E1" w:themeFill="accent4" w:themeFillTint="34"/>
      </w:tcPr>
    </w:tblStylePr>
  </w:style>
  <w:style w:type="table" w:customStyle="1" w:styleId="BorderedLined-Accent5">
    <w:name w:val="Bordered &amp; Lined - Accent 5"/>
    <w:basedOn w:val="NormaleTabelle"/>
    <w:uiPriority w:val="99"/>
    <w:rPr>
      <w:sz w:val="20"/>
      <w:szCs w:val="20"/>
      <w:lang w:eastAsia="de-DE"/>
    </w:rPr>
    <w:tblPr>
      <w:tblStyleRowBandSize w:val="1"/>
      <w:tblStyleColBandSize w:val="1"/>
      <w:tblBorders>
        <w:top w:val="single" w:sz="4" w:space="0" w:color="3A3838" w:themeColor="accent5"/>
        <w:left w:val="single" w:sz="4" w:space="0" w:color="3A3838" w:themeColor="accent5"/>
        <w:bottom w:val="single" w:sz="4" w:space="0" w:color="3A3838" w:themeColor="accent5"/>
        <w:right w:val="single" w:sz="4" w:space="0" w:color="3A3838" w:themeColor="accent5"/>
        <w:insideH w:val="single" w:sz="4" w:space="0" w:color="3A3838" w:themeColor="accent5"/>
        <w:insideV w:val="single" w:sz="4" w:space="0" w:color="3A3838" w:themeColor="accent5"/>
      </w:tblBorders>
    </w:tblPr>
    <w:tblStylePr w:type="firstRow">
      <w:rPr>
        <w:sz w:val="22"/>
      </w:rPr>
      <w:tblPr/>
      <w:tcPr>
        <w:shd w:val="clear" w:color="3A3838" w:fill="3A3838" w:themeFill="accent5"/>
      </w:tcPr>
    </w:tblStylePr>
    <w:tblStylePr w:type="lastRow">
      <w:rPr>
        <w:sz w:val="22"/>
      </w:rPr>
      <w:tblPr/>
      <w:tcPr>
        <w:shd w:val="clear" w:color="3A3838" w:fill="3A3838" w:themeFill="accent5"/>
      </w:tcPr>
    </w:tblStylePr>
    <w:tblStylePr w:type="firstCol">
      <w:rPr>
        <w:sz w:val="22"/>
      </w:rPr>
      <w:tblPr/>
      <w:tcPr>
        <w:shd w:val="clear" w:color="3A3838" w:fill="3A3838" w:themeFill="accent5"/>
      </w:tcPr>
    </w:tblStylePr>
    <w:tblStylePr w:type="lastCol">
      <w:rPr>
        <w:sz w:val="22"/>
      </w:rPr>
      <w:tblPr/>
      <w:tcPr>
        <w:shd w:val="clear" w:color="3A3838" w:fill="3A3838" w:themeFill="accent5"/>
      </w:tcPr>
    </w:tblStylePr>
    <w:tblStylePr w:type="band1Vert">
      <w:rPr>
        <w:sz w:val="22"/>
      </w:rPr>
    </w:tblStylePr>
    <w:tblStylePr w:type="band2Vert">
      <w:rPr>
        <w:sz w:val="22"/>
      </w:rPr>
      <w:tblPr/>
      <w:tcPr>
        <w:shd w:val="clear" w:color="D7D5D5" w:fill="D7D5D5" w:themeFill="accent5" w:themeFillTint="34"/>
      </w:tcPr>
    </w:tblStylePr>
    <w:tblStylePr w:type="band1Horz">
      <w:rPr>
        <w:sz w:val="22"/>
      </w:rPr>
    </w:tblStylePr>
    <w:tblStylePr w:type="band2Horz">
      <w:rPr>
        <w:sz w:val="22"/>
      </w:rPr>
      <w:tblPr/>
      <w:tcPr>
        <w:shd w:val="clear" w:color="D7D5D5" w:fill="D7D5D5" w:themeFill="accent5" w:themeFillTint="34"/>
      </w:tcPr>
    </w:tblStylePr>
  </w:style>
  <w:style w:type="table" w:customStyle="1" w:styleId="BorderedLined-Accent6">
    <w:name w:val="Bordered &amp; Lined - Accent 6"/>
    <w:basedOn w:val="NormaleTabelle"/>
    <w:uiPriority w:val="99"/>
    <w:rPr>
      <w:sz w:val="20"/>
      <w:szCs w:val="20"/>
      <w:lang w:eastAsia="de-DE"/>
    </w:rPr>
    <w:tblPr>
      <w:tblStyleRowBandSize w:val="1"/>
      <w:tblStyleColBandSize w:val="1"/>
      <w:tblBorders>
        <w:top w:val="single" w:sz="4" w:space="0" w:color="171616" w:themeColor="accent6"/>
        <w:left w:val="single" w:sz="4" w:space="0" w:color="171616" w:themeColor="accent6"/>
        <w:bottom w:val="single" w:sz="4" w:space="0" w:color="171616" w:themeColor="accent6"/>
        <w:right w:val="single" w:sz="4" w:space="0" w:color="171616" w:themeColor="accent6"/>
        <w:insideH w:val="single" w:sz="4" w:space="0" w:color="171616" w:themeColor="accent6"/>
        <w:insideV w:val="single" w:sz="4" w:space="0" w:color="171616" w:themeColor="accent6"/>
      </w:tblBorders>
    </w:tblPr>
    <w:tblStylePr w:type="firstRow">
      <w:rPr>
        <w:sz w:val="22"/>
      </w:rPr>
      <w:tblPr/>
      <w:tcPr>
        <w:shd w:val="clear" w:color="171616" w:fill="171616" w:themeFill="accent6"/>
      </w:tcPr>
    </w:tblStylePr>
    <w:tblStylePr w:type="lastRow">
      <w:rPr>
        <w:sz w:val="22"/>
      </w:rPr>
      <w:tblPr/>
      <w:tcPr>
        <w:shd w:val="clear" w:color="171616" w:fill="171616" w:themeFill="accent6"/>
      </w:tcPr>
    </w:tblStylePr>
    <w:tblStylePr w:type="firstCol">
      <w:rPr>
        <w:sz w:val="22"/>
      </w:rPr>
      <w:tblPr/>
      <w:tcPr>
        <w:shd w:val="clear" w:color="171616" w:fill="171616" w:themeFill="accent6"/>
      </w:tcPr>
    </w:tblStylePr>
    <w:tblStylePr w:type="lastCol">
      <w:rPr>
        <w:sz w:val="22"/>
      </w:rPr>
      <w:tblPr/>
      <w:tcPr>
        <w:shd w:val="clear" w:color="171616" w:fill="171616" w:themeFill="accent6"/>
      </w:tcPr>
    </w:tblStylePr>
    <w:tblStylePr w:type="band1Vert">
      <w:rPr>
        <w:sz w:val="22"/>
      </w:rPr>
    </w:tblStylePr>
    <w:tblStylePr w:type="band2Vert">
      <w:rPr>
        <w:sz w:val="22"/>
      </w:rPr>
      <w:tblPr/>
      <w:tcPr>
        <w:shd w:val="clear" w:color="D0CECE" w:fill="D0CECE" w:themeFill="accent6" w:themeFillTint="34"/>
      </w:tcPr>
    </w:tblStylePr>
    <w:tblStylePr w:type="band1Horz">
      <w:rPr>
        <w:sz w:val="22"/>
      </w:rPr>
    </w:tblStylePr>
    <w:tblStylePr w:type="band2Horz">
      <w:rPr>
        <w:sz w:val="22"/>
      </w:rPr>
      <w:tblPr/>
      <w:tcPr>
        <w:shd w:val="clear" w:color="D0CECE" w:fill="D0CECE"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NormaleTabelle"/>
    <w:uiPriority w:val="99"/>
    <w:tblPr>
      <w:tblStyleRowBandSize w:val="1"/>
      <w:tblStyleColBandSize w:val="1"/>
      <w:tblBorders>
        <w:top w:val="single" w:sz="4" w:space="0" w:color="F5F4F4" w:themeColor="accent1" w:themeTint="67"/>
        <w:left w:val="single" w:sz="4" w:space="0" w:color="F5F4F4" w:themeColor="accent1" w:themeTint="67"/>
        <w:bottom w:val="single" w:sz="4" w:space="0" w:color="F5F4F4" w:themeColor="accent1" w:themeTint="67"/>
        <w:right w:val="single" w:sz="4" w:space="0" w:color="F5F4F4" w:themeColor="accent1" w:themeTint="67"/>
        <w:insideH w:val="single" w:sz="4" w:space="0" w:color="F5F4F4" w:themeColor="accent1" w:themeTint="67"/>
        <w:insideV w:val="single" w:sz="4" w:space="0" w:color="F5F4F4" w:themeColor="accent1" w:themeTint="67"/>
      </w:tblBorders>
    </w:tblPr>
    <w:tblStylePr w:type="firstRow">
      <w:rPr>
        <w:sz w:val="22"/>
      </w:rPr>
      <w:tblPr/>
      <w:tcPr>
        <w:tcBorders>
          <w:bottom w:val="single" w:sz="12" w:space="0" w:color="E7E6E6" w:themeColor="accent1"/>
        </w:tcBorders>
      </w:tcPr>
    </w:tblStylePr>
    <w:tblStylePr w:type="lastRow">
      <w:rPr>
        <w:sz w:val="22"/>
      </w:rPr>
      <w:tblPr/>
      <w:tcPr>
        <w:tcBorders>
          <w:top w:val="single" w:sz="12" w:space="0" w:color="E7E6E6" w:themeColor="accent1"/>
        </w:tcBorders>
      </w:tcPr>
    </w:tblStylePr>
    <w:tblStylePr w:type="firstCol">
      <w:rPr>
        <w:sz w:val="22"/>
      </w:rPr>
    </w:tblStylePr>
    <w:tblStylePr w:type="lastCol">
      <w:rPr>
        <w:sz w:val="22"/>
      </w:rPr>
      <w:tblPr/>
      <w:tcPr>
        <w:tcBorders>
          <w:left w:val="single" w:sz="12" w:space="0" w:color="E7E6E6" w:themeColor="accent1"/>
        </w:tcBorders>
      </w:tcPr>
    </w:tblStylePr>
    <w:tblStylePr w:type="band1Horz">
      <w:rPr>
        <w:sz w:val="22"/>
      </w:rPr>
      <w:tblPr/>
      <w:tcPr>
        <w:tcBorders>
          <w:top w:val="single" w:sz="4" w:space="0" w:color="E7E6E6" w:themeColor="accent1"/>
          <w:left w:val="single" w:sz="4" w:space="0" w:color="E7E6E6" w:themeColor="accent1"/>
          <w:bottom w:val="single" w:sz="4" w:space="0" w:color="E7E6E6" w:themeColor="accent1"/>
          <w:right w:val="single" w:sz="4" w:space="0" w:color="E7E6E6" w:themeColor="accent1"/>
        </w:tcBorders>
      </w:tcPr>
    </w:tblStylePr>
  </w:style>
  <w:style w:type="table" w:customStyle="1" w:styleId="Bordered-Accent2">
    <w:name w:val="Bordered - Accent 2"/>
    <w:basedOn w:val="NormaleTabelle"/>
    <w:uiPriority w:val="99"/>
    <w:tblPr>
      <w:tblStyleRowBandSize w:val="1"/>
      <w:tblStyleColBandSize w:val="1"/>
      <w:tblBorders>
        <w:top w:val="single" w:sz="4" w:space="0" w:color="DEDDDD" w:themeColor="accent2" w:themeTint="67"/>
        <w:left w:val="single" w:sz="4" w:space="0" w:color="DEDDDD" w:themeColor="accent2" w:themeTint="67"/>
        <w:bottom w:val="single" w:sz="4" w:space="0" w:color="DEDDDD" w:themeColor="accent2" w:themeTint="67"/>
        <w:right w:val="single" w:sz="4" w:space="0" w:color="DEDDDD" w:themeColor="accent2" w:themeTint="67"/>
        <w:insideH w:val="single" w:sz="4" w:space="0" w:color="DEDDDD" w:themeColor="accent2" w:themeTint="67"/>
        <w:insideV w:val="single" w:sz="4" w:space="0" w:color="DEDDDD" w:themeColor="accent2" w:themeTint="67"/>
      </w:tblBorders>
    </w:tblPr>
    <w:tblStylePr w:type="firstRow">
      <w:rPr>
        <w:sz w:val="22"/>
      </w:rPr>
      <w:tblPr/>
      <w:tcPr>
        <w:tcBorders>
          <w:bottom w:val="single" w:sz="12" w:space="0" w:color="AEABAB" w:themeColor="accent2"/>
        </w:tcBorders>
      </w:tcPr>
    </w:tblStylePr>
    <w:tblStylePr w:type="lastRow">
      <w:rPr>
        <w:sz w:val="22"/>
      </w:rPr>
      <w:tblPr/>
      <w:tcPr>
        <w:tcBorders>
          <w:top w:val="single" w:sz="12" w:space="0" w:color="AEABAB" w:themeColor="accent2"/>
        </w:tcBorders>
      </w:tcPr>
    </w:tblStylePr>
    <w:tblStylePr w:type="firstCol">
      <w:rPr>
        <w:sz w:val="22"/>
      </w:rPr>
    </w:tblStylePr>
    <w:tblStylePr w:type="lastCol">
      <w:rPr>
        <w:sz w:val="22"/>
      </w:rPr>
      <w:tblPr/>
      <w:tcPr>
        <w:tcBorders>
          <w:left w:val="single" w:sz="12" w:space="0" w:color="AEABAB" w:themeColor="accent2"/>
        </w:tcBorders>
      </w:tcPr>
    </w:tblStylePr>
    <w:tblStylePr w:type="band1Horz">
      <w:rPr>
        <w:sz w:val="22"/>
      </w:rPr>
      <w:tblPr/>
      <w:tcPr>
        <w:tcBorders>
          <w:top w:val="single" w:sz="4" w:space="0" w:color="AEABAB" w:themeColor="accent2"/>
          <w:left w:val="single" w:sz="4" w:space="0" w:color="AEABAB" w:themeColor="accent2"/>
          <w:bottom w:val="single" w:sz="4" w:space="0" w:color="AEABAB" w:themeColor="accent2"/>
          <w:right w:val="single" w:sz="4" w:space="0" w:color="AEABAB" w:themeColor="accent2"/>
        </w:tcBorders>
      </w:tcPr>
    </w:tblStylePr>
  </w:style>
  <w:style w:type="table" w:customStyle="1" w:styleId="Bordered-Accent3">
    <w:name w:val="Bordered - Accent 3"/>
    <w:basedOn w:val="NormaleTabelle"/>
    <w:uiPriority w:val="99"/>
    <w:tblPr>
      <w:tblStyleRowBandSize w:val="1"/>
      <w:tblStyleColBandSize w:val="1"/>
      <w:tblBorders>
        <w:top w:val="single" w:sz="4" w:space="0" w:color="C7C4C4" w:themeColor="accent3" w:themeTint="67"/>
        <w:left w:val="single" w:sz="4" w:space="0" w:color="C7C4C4" w:themeColor="accent3" w:themeTint="67"/>
        <w:bottom w:val="single" w:sz="4" w:space="0" w:color="C7C4C4" w:themeColor="accent3" w:themeTint="67"/>
        <w:right w:val="single" w:sz="4" w:space="0" w:color="C7C4C4" w:themeColor="accent3" w:themeTint="67"/>
        <w:insideH w:val="single" w:sz="4" w:space="0" w:color="C7C4C4" w:themeColor="accent3" w:themeTint="67"/>
        <w:insideV w:val="single" w:sz="4" w:space="0" w:color="C7C4C4" w:themeColor="accent3" w:themeTint="67"/>
      </w:tblBorders>
    </w:tblPr>
    <w:tblStylePr w:type="firstRow">
      <w:rPr>
        <w:sz w:val="22"/>
      </w:rPr>
      <w:tblPr/>
      <w:tcPr>
        <w:tcBorders>
          <w:bottom w:val="single" w:sz="12" w:space="0" w:color="757070" w:themeColor="accent3"/>
        </w:tcBorders>
      </w:tcPr>
    </w:tblStylePr>
    <w:tblStylePr w:type="lastRow">
      <w:rPr>
        <w:sz w:val="22"/>
      </w:rPr>
      <w:tblPr/>
      <w:tcPr>
        <w:tcBorders>
          <w:top w:val="single" w:sz="12" w:space="0" w:color="757070" w:themeColor="accent3"/>
        </w:tcBorders>
      </w:tcPr>
    </w:tblStylePr>
    <w:tblStylePr w:type="firstCol">
      <w:rPr>
        <w:sz w:val="22"/>
      </w:rPr>
    </w:tblStylePr>
    <w:tblStylePr w:type="lastCol">
      <w:rPr>
        <w:sz w:val="22"/>
      </w:rPr>
      <w:tblPr/>
      <w:tcPr>
        <w:tcBorders>
          <w:left w:val="single" w:sz="12" w:space="0" w:color="757070" w:themeColor="accent3"/>
        </w:tcBorders>
      </w:tcPr>
    </w:tblStylePr>
    <w:tblStylePr w:type="band1Horz">
      <w:rPr>
        <w:sz w:val="22"/>
      </w:rPr>
      <w:tblPr/>
      <w:tcPr>
        <w:tcBorders>
          <w:top w:val="single" w:sz="4" w:space="0" w:color="757070" w:themeColor="accent3"/>
          <w:left w:val="single" w:sz="4" w:space="0" w:color="757070" w:themeColor="accent3"/>
          <w:bottom w:val="single" w:sz="4" w:space="0" w:color="757070" w:themeColor="accent3"/>
          <w:right w:val="single" w:sz="4" w:space="0" w:color="757070" w:themeColor="accent3"/>
        </w:tcBorders>
      </w:tcPr>
    </w:tblStylePr>
  </w:style>
  <w:style w:type="table" w:customStyle="1" w:styleId="Bordered-Accent4">
    <w:name w:val="Bordered - Accent 4"/>
    <w:basedOn w:val="NormaleTabelle"/>
    <w:uiPriority w:val="99"/>
    <w:tblPr>
      <w:tblStyleRowBandSize w:val="1"/>
      <w:tblStyleColBandSize w:val="1"/>
      <w:tblBorders>
        <w:top w:val="single" w:sz="4" w:space="0" w:color="C7C4C4" w:themeColor="accent4" w:themeTint="67"/>
        <w:left w:val="single" w:sz="4" w:space="0" w:color="C7C4C4" w:themeColor="accent4" w:themeTint="67"/>
        <w:bottom w:val="single" w:sz="4" w:space="0" w:color="C7C4C4" w:themeColor="accent4" w:themeTint="67"/>
        <w:right w:val="single" w:sz="4" w:space="0" w:color="C7C4C4" w:themeColor="accent4" w:themeTint="67"/>
        <w:insideH w:val="single" w:sz="4" w:space="0" w:color="C7C4C4" w:themeColor="accent4" w:themeTint="67"/>
        <w:insideV w:val="single" w:sz="4" w:space="0" w:color="C7C4C4" w:themeColor="accent4" w:themeTint="67"/>
      </w:tblBorders>
    </w:tblPr>
    <w:tblStylePr w:type="firstRow">
      <w:rPr>
        <w:sz w:val="22"/>
      </w:rPr>
      <w:tblPr/>
      <w:tcPr>
        <w:tcBorders>
          <w:bottom w:val="single" w:sz="12" w:space="0" w:color="757070" w:themeColor="accent4"/>
        </w:tcBorders>
      </w:tcPr>
    </w:tblStylePr>
    <w:tblStylePr w:type="lastRow">
      <w:rPr>
        <w:sz w:val="22"/>
      </w:rPr>
      <w:tblPr/>
      <w:tcPr>
        <w:tcBorders>
          <w:top w:val="single" w:sz="12" w:space="0" w:color="757070" w:themeColor="accent4"/>
        </w:tcBorders>
      </w:tcPr>
    </w:tblStylePr>
    <w:tblStylePr w:type="firstCol">
      <w:rPr>
        <w:sz w:val="22"/>
      </w:rPr>
    </w:tblStylePr>
    <w:tblStylePr w:type="lastCol">
      <w:rPr>
        <w:sz w:val="22"/>
      </w:rPr>
      <w:tblPr/>
      <w:tcPr>
        <w:tcBorders>
          <w:left w:val="single" w:sz="12" w:space="0" w:color="757070" w:themeColor="accent4"/>
        </w:tcBorders>
      </w:tcPr>
    </w:tblStylePr>
    <w:tblStylePr w:type="band1Horz">
      <w:rPr>
        <w:sz w:val="22"/>
      </w:rPr>
      <w:tblPr/>
      <w:tcPr>
        <w:tcBorders>
          <w:top w:val="single" w:sz="4" w:space="0" w:color="757070" w:themeColor="accent4"/>
          <w:left w:val="single" w:sz="4" w:space="0" w:color="757070" w:themeColor="accent4"/>
          <w:bottom w:val="single" w:sz="4" w:space="0" w:color="757070" w:themeColor="accent4"/>
          <w:right w:val="single" w:sz="4" w:space="0" w:color="757070" w:themeColor="accent4"/>
        </w:tcBorders>
      </w:tcPr>
    </w:tblStylePr>
  </w:style>
  <w:style w:type="table" w:customStyle="1" w:styleId="Bordered-Accent5">
    <w:name w:val="Bordered - Accent 5"/>
    <w:basedOn w:val="NormaleTabelle"/>
    <w:uiPriority w:val="99"/>
    <w:tblPr>
      <w:tblStyleRowBandSize w:val="1"/>
      <w:tblStyleColBandSize w:val="1"/>
      <w:tblBorders>
        <w:top w:val="single" w:sz="4" w:space="0" w:color="B0ADAD" w:themeColor="accent5" w:themeTint="67"/>
        <w:left w:val="single" w:sz="4" w:space="0" w:color="B0ADAD" w:themeColor="accent5" w:themeTint="67"/>
        <w:bottom w:val="single" w:sz="4" w:space="0" w:color="B0ADAD" w:themeColor="accent5" w:themeTint="67"/>
        <w:right w:val="single" w:sz="4" w:space="0" w:color="B0ADAD" w:themeColor="accent5" w:themeTint="67"/>
        <w:insideH w:val="single" w:sz="4" w:space="0" w:color="B0ADAD" w:themeColor="accent5" w:themeTint="67"/>
        <w:insideV w:val="single" w:sz="4" w:space="0" w:color="B0ADAD" w:themeColor="accent5" w:themeTint="67"/>
      </w:tblBorders>
    </w:tblPr>
    <w:tblStylePr w:type="firstRow">
      <w:rPr>
        <w:sz w:val="22"/>
      </w:rPr>
      <w:tblPr/>
      <w:tcPr>
        <w:tcBorders>
          <w:bottom w:val="single" w:sz="12" w:space="0" w:color="3A3838" w:themeColor="accent5"/>
        </w:tcBorders>
      </w:tcPr>
    </w:tblStylePr>
    <w:tblStylePr w:type="lastRow">
      <w:rPr>
        <w:sz w:val="22"/>
      </w:rPr>
      <w:tblPr/>
      <w:tcPr>
        <w:tcBorders>
          <w:top w:val="single" w:sz="12" w:space="0" w:color="3A3838" w:themeColor="accent5"/>
        </w:tcBorders>
      </w:tcPr>
    </w:tblStylePr>
    <w:tblStylePr w:type="firstCol">
      <w:rPr>
        <w:sz w:val="22"/>
      </w:rPr>
    </w:tblStylePr>
    <w:tblStylePr w:type="lastCol">
      <w:rPr>
        <w:sz w:val="22"/>
      </w:rPr>
      <w:tblPr/>
      <w:tcPr>
        <w:tcBorders>
          <w:left w:val="single" w:sz="12" w:space="0" w:color="3A3838" w:themeColor="accent5"/>
        </w:tcBorders>
      </w:tcPr>
    </w:tblStylePr>
    <w:tblStylePr w:type="band1Horz">
      <w:rPr>
        <w:sz w:val="22"/>
      </w:rPr>
      <w:tblPr/>
      <w:tcPr>
        <w:tcBorders>
          <w:top w:val="single" w:sz="4" w:space="0" w:color="3A3838" w:themeColor="accent5"/>
          <w:left w:val="single" w:sz="4" w:space="0" w:color="3A3838" w:themeColor="accent5"/>
          <w:bottom w:val="single" w:sz="4" w:space="0" w:color="3A3838" w:themeColor="accent5"/>
          <w:right w:val="single" w:sz="4" w:space="0" w:color="3A3838" w:themeColor="accent5"/>
        </w:tcBorders>
      </w:tcPr>
    </w:tblStylePr>
  </w:style>
  <w:style w:type="table" w:customStyle="1" w:styleId="Bordered-Accent6">
    <w:name w:val="Bordered - Accent 6"/>
    <w:basedOn w:val="NormaleTabelle"/>
    <w:uiPriority w:val="99"/>
    <w:tblPr>
      <w:tblStyleRowBandSize w:val="1"/>
      <w:tblStyleColBandSize w:val="1"/>
      <w:tblBorders>
        <w:top w:val="single" w:sz="4" w:space="0" w:color="A39E9E" w:themeColor="accent6" w:themeTint="67"/>
        <w:left w:val="single" w:sz="4" w:space="0" w:color="A39E9E" w:themeColor="accent6" w:themeTint="67"/>
        <w:bottom w:val="single" w:sz="4" w:space="0" w:color="A39E9E" w:themeColor="accent6" w:themeTint="67"/>
        <w:right w:val="single" w:sz="4" w:space="0" w:color="A39E9E" w:themeColor="accent6" w:themeTint="67"/>
        <w:insideH w:val="single" w:sz="4" w:space="0" w:color="A39E9E" w:themeColor="accent6" w:themeTint="67"/>
        <w:insideV w:val="single" w:sz="4" w:space="0" w:color="A39E9E" w:themeColor="accent6" w:themeTint="67"/>
      </w:tblBorders>
    </w:tblPr>
    <w:tblStylePr w:type="firstRow">
      <w:rPr>
        <w:sz w:val="22"/>
      </w:rPr>
      <w:tblPr/>
      <w:tcPr>
        <w:tcBorders>
          <w:bottom w:val="single" w:sz="12" w:space="0" w:color="171616" w:themeColor="accent6"/>
        </w:tcBorders>
      </w:tcPr>
    </w:tblStylePr>
    <w:tblStylePr w:type="lastRow">
      <w:rPr>
        <w:sz w:val="22"/>
      </w:rPr>
      <w:tblPr/>
      <w:tcPr>
        <w:tcBorders>
          <w:top w:val="single" w:sz="12" w:space="0" w:color="171616" w:themeColor="accent6"/>
        </w:tcBorders>
      </w:tcPr>
    </w:tblStylePr>
    <w:tblStylePr w:type="firstCol">
      <w:rPr>
        <w:sz w:val="22"/>
      </w:rPr>
    </w:tblStylePr>
    <w:tblStylePr w:type="lastCol">
      <w:rPr>
        <w:sz w:val="22"/>
      </w:rPr>
      <w:tblPr/>
      <w:tcPr>
        <w:tcBorders>
          <w:left w:val="single" w:sz="12" w:space="0" w:color="171616" w:themeColor="accent6"/>
        </w:tcBorders>
      </w:tcPr>
    </w:tblStylePr>
    <w:tblStylePr w:type="band1Horz">
      <w:rPr>
        <w:sz w:val="22"/>
      </w:rPr>
      <w:tblPr/>
      <w:tcPr>
        <w:tcBorders>
          <w:top w:val="single" w:sz="4" w:space="0" w:color="171616" w:themeColor="accent6"/>
          <w:left w:val="single" w:sz="4" w:space="0" w:color="171616" w:themeColor="accent6"/>
          <w:bottom w:val="single" w:sz="4" w:space="0" w:color="171616" w:themeColor="accent6"/>
          <w:right w:val="single" w:sz="4" w:space="0" w:color="171616" w:themeColor="accent6"/>
        </w:tcBorders>
      </w:tcPr>
    </w:tblStylePr>
  </w:style>
  <w:style w:type="table" w:styleId="Gitternetztabelle1hell">
    <w:name w:val="Grid Table 1 Light"/>
    <w:basedOn w:val="NormaleTabelle"/>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single" w:sz="2" w:space="0" w:color="000000" w:themeColor="text1"/>
        </w:tcBorders>
      </w:tcPr>
    </w:tblStylePr>
    <w:tblStylePr w:type="firstCol">
      <w:rPr>
        <w:b/>
        <w:bCs/>
      </w:rPr>
    </w:tblStylePr>
    <w:tblStylePr w:type="lastCol">
      <w:rPr>
        <w:b/>
        <w:bCs/>
      </w:rPr>
    </w:tblStylePr>
  </w:style>
  <w:style w:type="paragraph" w:styleId="berarbeitung">
    <w:name w:val="Revision"/>
    <w:hidden/>
    <w:uiPriority w:val="99"/>
    <w:semiHidden/>
    <w:rsid w:val="00673DF8"/>
    <w:pPr>
      <w:suppressAutoHyphens w:val="0"/>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ergabekammer@lds.sachsen.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tvp.d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Benutzerdefiniert 21">
      <a:dk1>
        <a:srgbClr val="000000"/>
      </a:dk1>
      <a:lt1>
        <a:srgbClr val="FFFFFF"/>
      </a:lt1>
      <a:dk2>
        <a:srgbClr val="757070"/>
      </a:dk2>
      <a:lt2>
        <a:srgbClr val="E7E6E6"/>
      </a:lt2>
      <a:accent1>
        <a:srgbClr val="E7E6E6"/>
      </a:accent1>
      <a:accent2>
        <a:srgbClr val="AEABAB"/>
      </a:accent2>
      <a:accent3>
        <a:srgbClr val="757070"/>
      </a:accent3>
      <a:accent4>
        <a:srgbClr val="757070"/>
      </a:accent4>
      <a:accent5>
        <a:srgbClr val="3A3838"/>
      </a:accent5>
      <a:accent6>
        <a:srgbClr val="171616"/>
      </a:accent6>
      <a:hlink>
        <a:srgbClr val="000000"/>
      </a:hlink>
      <a:folHlink>
        <a:srgbClr val="000000"/>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DCB39A3-4BDF-46E8-807E-725AB38CE085}">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843E5910F2CB740A3A694927016BF57" ma:contentTypeVersion="2" ma:contentTypeDescription="Ein neues Dokument erstellen." ma:contentTypeScope="" ma:versionID="e9766473bec0ecfa8bba230c6e9d307d">
  <xsd:schema xmlns:xsd="http://www.w3.org/2001/XMLSchema" xmlns:xs="http://www.w3.org/2001/XMLSchema" xmlns:p="http://schemas.microsoft.com/office/2006/metadata/properties" xmlns:ns2="1b081937-3042-48f3-8797-5a8fd28418e9" targetNamespace="http://schemas.microsoft.com/office/2006/metadata/properties" ma:root="true" ma:fieldsID="5f5a33c97dc1aac93fefec3072eb5733" ns2:_="">
    <xsd:import namespace="1b081937-3042-48f3-8797-5a8fd28418e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D5796-A4E7-44C9-9A7C-5263280069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84A51A-7348-46E0-93E5-095793605BCE}">
  <ds:schemaRefs>
    <ds:schemaRef ds:uri="http://schemas.openxmlformats.org/officeDocument/2006/bibliography"/>
  </ds:schemaRefs>
</ds:datastoreItem>
</file>

<file path=customXml/itemProps3.xml><?xml version="1.0" encoding="utf-8"?>
<ds:datastoreItem xmlns:ds="http://schemas.openxmlformats.org/officeDocument/2006/customXml" ds:itemID="{3E89CD04-F75E-45BB-85F9-E59C3524C9D3}">
  <ds:schemaRefs>
    <ds:schemaRef ds:uri="http://schemas.microsoft.com/sharepoint/v3/contenttype/forms"/>
  </ds:schemaRefs>
</ds:datastoreItem>
</file>

<file path=customXml/itemProps4.xml><?xml version="1.0" encoding="utf-8"?>
<ds:datastoreItem xmlns:ds="http://schemas.openxmlformats.org/officeDocument/2006/customXml" ds:itemID="{19F3289B-2E63-4A87-8517-823635246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6833</Words>
  <Characters>46672</Characters>
  <Application>Microsoft Office Word</Application>
  <DocSecurity>0</DocSecurity>
  <Lines>777</Lines>
  <Paragraphs>229</Paragraphs>
  <ScaleCrop>false</ScaleCrop>
  <HeadingPairs>
    <vt:vector size="2" baseType="variant">
      <vt:variant>
        <vt:lpstr>Titel</vt:lpstr>
      </vt:variant>
      <vt:variant>
        <vt:i4>1</vt:i4>
      </vt:variant>
    </vt:vector>
  </HeadingPairs>
  <TitlesOfParts>
    <vt:vector size="1" baseType="lpstr">
      <vt:lpstr>Vergabeverfahren [Titel einfügen] für das Zukunftszentrum (20jj-x-nnnn</vt:lpstr>
    </vt:vector>
  </TitlesOfParts>
  <Company/>
  <LinksUpToDate>false</LinksUpToDate>
  <CharactersWithSpaces>53276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[Titel einfügen] für das Zukunftszentrum (20jj-x-nnnn</dc:title>
  <dc:subject>Öffentliche Ausschreibung | 0_Verfahrensleitfaden</dc:subject>
  <dc:creator>PD - Berater der öffentlichen Hand GmbH</dc:creator>
  <dc:description/>
  <cp:lastModifiedBy>Forvis Mazars</cp:lastModifiedBy>
  <cp:revision>5</cp:revision>
  <cp:lastPrinted>2026-04-10T13:07:00Z</cp:lastPrinted>
  <dcterms:created xsi:type="dcterms:W3CDTF">2026-05-22T13:57:00Z</dcterms:created>
  <dcterms:modified xsi:type="dcterms:W3CDTF">2026-05-27T12:51:00Z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0">
    <vt:lpwstr>f1ed8f7d-1c65-4f06-ad48-3e96e725bea1</vt:lpwstr>
  </property>
  <property fmtid="{D5CDD505-2E9C-101B-9397-08002B2CF9AE}" pid="3" name="CitaviDocumentProperty_1">
    <vt:lpwstr>6.3.0.0</vt:lpwstr>
  </property>
  <property fmtid="{D5CDD505-2E9C-101B-9397-08002B2CF9AE}" pid="4" name="CitaviDocumentProperty_7">
    <vt:lpwstr>IB</vt:lpwstr>
  </property>
  <property fmtid="{D5CDD505-2E9C-101B-9397-08002B2CF9AE}" pid="5" name="CitaviDocumentProperty_8">
    <vt:lpwstr>C:\Users\Max\Documents\Citavi 6\Projects\IB\IB.ctv6</vt:lpwstr>
  </property>
  <property fmtid="{D5CDD505-2E9C-101B-9397-08002B2CF9AE}" pid="6" name="ContentTypeId">
    <vt:lpwstr>0x0101002843E5910F2CB740A3A694927016BF57</vt:lpwstr>
  </property>
</Properties>
</file>