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EB8" w:rsidRDefault="005E2EB8" w:rsidP="005E2EB8">
      <w:pPr>
        <w:pStyle w:val="berschrift1"/>
        <w:rPr>
          <w:rFonts w:ascii="Arial" w:hAnsi="Arial" w:cs="Arial"/>
          <w:sz w:val="28"/>
          <w:szCs w:val="28"/>
        </w:rPr>
      </w:pPr>
      <w:r w:rsidRPr="005E2EB8">
        <w:rPr>
          <w:rFonts w:ascii="Arial" w:hAnsi="Arial" w:cs="Arial"/>
          <w:sz w:val="28"/>
          <w:szCs w:val="28"/>
        </w:rPr>
        <w:t xml:space="preserve">Teil B3 Detaillierte Regelungen für den Leistungsbereich </w:t>
      </w:r>
      <w:r w:rsidR="00206F1F">
        <w:rPr>
          <w:rFonts w:ascii="Arial" w:hAnsi="Arial" w:cs="Arial"/>
          <w:sz w:val="28"/>
          <w:szCs w:val="28"/>
        </w:rPr>
        <w:br/>
      </w:r>
      <w:r w:rsidRPr="005E2EB8">
        <w:rPr>
          <w:rFonts w:ascii="Arial" w:hAnsi="Arial" w:cs="Arial"/>
          <w:sz w:val="28"/>
          <w:szCs w:val="28"/>
        </w:rPr>
        <w:t>Tragwerksplanung</w:t>
      </w:r>
    </w:p>
    <w:p w:rsidR="005E2EB8" w:rsidRPr="005E2EB8" w:rsidRDefault="005E2EB8" w:rsidP="005E2EB8"/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 für das Objekt: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des Leistungsbereichs Tragwerksplanung des in Teil A §1 näher definierten Projekts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1.1 Grundleistungen (§ 51 und Anlage 14.1 HOAI)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Der AG beauftragt den AN mit den folgenden Leistungsphasen:</w:t>
      </w:r>
    </w:p>
    <w:p w:rsidR="00F32F19" w:rsidRDefault="00F32F19" w:rsidP="00F32F19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Von der HOAI</w:t>
      </w:r>
    </w:p>
    <w:p w:rsidR="005E2EB8" w:rsidRDefault="00F32F19" w:rsidP="00F32F19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>Bewertung</w:t>
      </w:r>
      <w:r>
        <w:rPr>
          <w:rFonts w:ascii="Arial" w:hAnsi="Arial" w:cs="Arial"/>
          <w:sz w:val="20"/>
          <w:szCs w:val="20"/>
        </w:rPr>
        <w:tab/>
        <w:t>abweichende</w:t>
      </w:r>
    </w:p>
    <w:p w:rsidR="005E2EB8" w:rsidRPr="005E2EB8" w:rsidRDefault="00F32F19" w:rsidP="00F32F19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>gem. HOAI</w:t>
      </w:r>
      <w:r>
        <w:rPr>
          <w:rFonts w:ascii="Arial" w:hAnsi="Arial" w:cs="Arial"/>
          <w:sz w:val="20"/>
          <w:szCs w:val="20"/>
        </w:rPr>
        <w:tab/>
        <w:t>Bewertung</w:t>
      </w:r>
    </w:p>
    <w:p w:rsidR="005E2EB8" w:rsidRPr="005E2EB8" w:rsidRDefault="005E2EB8" w:rsidP="00F32F19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9235B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7257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Grundlagenermittlung (Leistungsphase 1) </w:t>
      </w:r>
      <w:r w:rsidR="00F32F19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3 %</w:t>
      </w:r>
      <w:r w:rsidR="00F32F19">
        <w:rPr>
          <w:rFonts w:ascii="Arial" w:hAnsi="Arial" w:cs="Arial"/>
          <w:sz w:val="20"/>
          <w:szCs w:val="20"/>
        </w:rPr>
        <w:tab/>
      </w:r>
      <w:r w:rsidR="00F9235B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F9235B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-2123214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Vorplanung (Leistungsphase 2) </w:t>
      </w:r>
      <w:r w:rsidR="00F32F19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10 %</w:t>
      </w:r>
      <w:r w:rsidR="00F32F19">
        <w:rPr>
          <w:rFonts w:ascii="Arial" w:hAnsi="Arial" w:cs="Arial"/>
          <w:sz w:val="20"/>
          <w:szCs w:val="20"/>
        </w:rPr>
        <w:tab/>
      </w:r>
      <w:r w:rsidR="00F9235B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F9235B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-1355109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Entwurfsplanung (Leistungsphase 3) </w:t>
      </w:r>
      <w:r w:rsidR="00F32F19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15 %</w:t>
      </w:r>
      <w:r w:rsidR="00F32F19">
        <w:rPr>
          <w:rFonts w:ascii="Arial" w:hAnsi="Arial" w:cs="Arial"/>
          <w:sz w:val="20"/>
          <w:szCs w:val="20"/>
        </w:rPr>
        <w:tab/>
      </w:r>
      <w:r w:rsidR="00F9235B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F9235B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486443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Genehmigungsplanung (Leistungsphase 4) </w:t>
      </w:r>
      <w:r w:rsidR="00F32F19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30 %</w:t>
      </w:r>
      <w:r w:rsidR="00F32F19">
        <w:rPr>
          <w:rFonts w:ascii="Arial" w:hAnsi="Arial" w:cs="Arial"/>
          <w:sz w:val="20"/>
          <w:szCs w:val="20"/>
        </w:rPr>
        <w:tab/>
      </w:r>
      <w:r w:rsidR="00F9235B" w:rsidRPr="00E95537">
        <w:rPr>
          <w:shd w:val="clear" w:color="auto" w:fill="D9D9D9" w:themeFill="background1" w:themeFillShade="D9"/>
        </w:rPr>
        <w:tab/>
      </w:r>
    </w:p>
    <w:p w:rsidR="005E2EB8" w:rsidRDefault="005E2EB8" w:rsidP="00F9235B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-889102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Ausführungsplanung (Leistungsphase 5) </w:t>
      </w:r>
      <w:r w:rsidR="00F32F19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40 %</w:t>
      </w:r>
      <w:r w:rsidR="00F32F19">
        <w:rPr>
          <w:rFonts w:ascii="Arial" w:hAnsi="Arial" w:cs="Arial"/>
          <w:sz w:val="20"/>
          <w:szCs w:val="20"/>
        </w:rPr>
        <w:tab/>
      </w:r>
      <w:r w:rsidR="00F9235B" w:rsidRPr="00E95537">
        <w:rPr>
          <w:shd w:val="clear" w:color="auto" w:fill="D9D9D9" w:themeFill="background1" w:themeFillShade="D9"/>
        </w:rPr>
        <w:tab/>
      </w:r>
    </w:p>
    <w:p w:rsidR="00F32F19" w:rsidRPr="005E2EB8" w:rsidRDefault="00F32F19" w:rsidP="00F32F19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F32F19" w:rsidP="00F32F1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MerkPosIDE"/>
      <w:bookmarkEnd w:id="0"/>
      <w:r>
        <w:rPr>
          <w:rFonts w:ascii="Arial" w:hAnsi="Arial" w:cs="Arial"/>
          <w:sz w:val="20"/>
          <w:szCs w:val="20"/>
        </w:rPr>
        <w:t>*</w:t>
      </w:r>
      <w:r w:rsidR="005E2EB8" w:rsidRPr="005E2EB8">
        <w:rPr>
          <w:rFonts w:ascii="Arial" w:hAnsi="Arial" w:cs="Arial"/>
          <w:sz w:val="20"/>
          <w:szCs w:val="20"/>
        </w:rPr>
        <w:t>Die von der HOAI abweichende Bewertung ergibt sich daraus, dass die folgenden Leistungen statt vom</w:t>
      </w:r>
      <w:r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AN durch den AG oder den nachfolgend benannten weiteren Auftragnehmer eigenverantwortlich erbracht</w:t>
      </w:r>
      <w:r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werden:</w:t>
      </w:r>
    </w:p>
    <w:p w:rsidR="00F32F19" w:rsidRDefault="00F32F19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2F19" w:rsidRDefault="00F32F19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906CF2" w:rsidP="00F32F19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1986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Die Leistungsphase 5 wird gemäß § 51 Abs. 2 HOAI mit 30 % bewertet, weil</w:t>
      </w:r>
    </w:p>
    <w:p w:rsidR="005E2EB8" w:rsidRPr="00F32F19" w:rsidRDefault="00906CF2" w:rsidP="008855CE">
      <w:pPr>
        <w:autoSpaceDE w:val="0"/>
        <w:autoSpaceDN w:val="0"/>
        <w:adjustRightInd w:val="0"/>
        <w:spacing w:after="0" w:line="360" w:lineRule="auto"/>
        <w:ind w:left="283" w:hanging="7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4889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 w:rsidRPr="008855C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8855CE">
        <w:rPr>
          <w:rFonts w:ascii="Arial" w:hAnsi="Arial" w:cs="Arial"/>
          <w:sz w:val="20"/>
          <w:szCs w:val="20"/>
        </w:rPr>
        <w:tab/>
      </w:r>
      <w:r w:rsidR="005E2EB8" w:rsidRPr="00F32F19">
        <w:rPr>
          <w:rFonts w:ascii="Arial" w:hAnsi="Arial" w:cs="Arial"/>
          <w:sz w:val="20"/>
          <w:szCs w:val="20"/>
        </w:rPr>
        <w:t>im Stahlbetonbau keine Schalpläne beauftragt werden.</w:t>
      </w:r>
    </w:p>
    <w:p w:rsidR="005E2EB8" w:rsidRPr="008855CE" w:rsidRDefault="00906CF2" w:rsidP="008855CE">
      <w:pPr>
        <w:autoSpaceDE w:val="0"/>
        <w:autoSpaceDN w:val="0"/>
        <w:adjustRightInd w:val="0"/>
        <w:spacing w:after="0" w:line="360" w:lineRule="auto"/>
        <w:ind w:left="283" w:hanging="7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61669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855CE">
        <w:rPr>
          <w:rFonts w:ascii="Arial" w:hAnsi="Arial" w:cs="Arial"/>
          <w:sz w:val="20"/>
          <w:szCs w:val="20"/>
        </w:rPr>
        <w:tab/>
      </w:r>
      <w:r w:rsidR="005E2EB8" w:rsidRPr="008855CE">
        <w:rPr>
          <w:rFonts w:ascii="Arial" w:hAnsi="Arial" w:cs="Arial"/>
          <w:sz w:val="20"/>
          <w:szCs w:val="20"/>
        </w:rPr>
        <w:t>im Holzbau nur unterdurchschnittliche Schwierigkeit besteht.</w:t>
      </w:r>
    </w:p>
    <w:p w:rsidR="005E2EB8" w:rsidRPr="005E2EB8" w:rsidRDefault="00906CF2" w:rsidP="00F32F1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42409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2F19">
        <w:rPr>
          <w:rFonts w:ascii="Arial" w:hAnsi="Arial" w:cs="Arial"/>
          <w:sz w:val="20"/>
          <w:szCs w:val="20"/>
        </w:rPr>
        <w:tab/>
      </w:r>
      <w:r w:rsidR="005E2EB8" w:rsidRPr="00F32F19">
        <w:rPr>
          <w:rFonts w:ascii="Arial" w:hAnsi="Arial" w:cs="Arial"/>
          <w:sz w:val="20"/>
          <w:szCs w:val="20"/>
        </w:rPr>
        <w:t>Die Leistungsphase 5 wird gemäß § 51 Abs. 3 HOAI mit 20 % bewertet, weil nur Schalpläne</w:t>
      </w:r>
      <w:r w:rsidR="0074662C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beauftragt werden.</w:t>
      </w:r>
    </w:p>
    <w:p w:rsidR="005E2EB8" w:rsidRPr="005E2EB8" w:rsidRDefault="00906CF2" w:rsidP="005B3056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87503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5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62C">
        <w:rPr>
          <w:rFonts w:ascii="Arial" w:hAnsi="Arial" w:cs="Arial"/>
          <w:sz w:val="20"/>
          <w:szCs w:val="20"/>
        </w:rPr>
        <w:tab/>
      </w:r>
      <w:r w:rsidR="005E2EB8" w:rsidRPr="0074662C">
        <w:rPr>
          <w:rFonts w:ascii="Arial" w:hAnsi="Arial" w:cs="Arial"/>
          <w:sz w:val="20"/>
          <w:szCs w:val="20"/>
        </w:rPr>
        <w:t>Die Bewertung der Leistungsphase 5 wird gemäß § 51 Abs. 4 HOAI um</w:t>
      </w:r>
      <w:r w:rsidR="006224A8">
        <w:rPr>
          <w:rFonts w:ascii="Arial" w:hAnsi="Arial" w:cs="Arial"/>
          <w:sz w:val="20"/>
          <w:szCs w:val="20"/>
        </w:rPr>
        <w:t xml:space="preserve"> </w:t>
      </w:r>
      <w:r w:rsidR="005B3056" w:rsidRPr="00E95537">
        <w:rPr>
          <w:shd w:val="clear" w:color="auto" w:fill="D9D9D9" w:themeFill="background1" w:themeFillShade="D9"/>
        </w:rPr>
        <w:tab/>
      </w:r>
      <w:r w:rsidR="006224A8">
        <w:rPr>
          <w:rFonts w:ascii="Arial" w:hAnsi="Arial" w:cs="Arial"/>
          <w:sz w:val="20"/>
          <w:szCs w:val="20"/>
        </w:rPr>
        <w:t xml:space="preserve"> </w:t>
      </w:r>
      <w:r w:rsidR="006224A8" w:rsidRPr="005E2EB8">
        <w:rPr>
          <w:rFonts w:ascii="Arial" w:hAnsi="Arial" w:cs="Arial"/>
          <w:sz w:val="20"/>
          <w:szCs w:val="20"/>
        </w:rPr>
        <w:t>% erhöht,</w:t>
      </w:r>
      <w:r w:rsidR="006224A8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falls sehr e</w:t>
      </w:r>
      <w:r w:rsidR="006224A8">
        <w:rPr>
          <w:rFonts w:ascii="Arial" w:hAnsi="Arial" w:cs="Arial"/>
          <w:sz w:val="20"/>
          <w:szCs w:val="20"/>
        </w:rPr>
        <w:t>nge Bewehrung erforderlich wird.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6224A8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lastRenderedPageBreak/>
        <w:t>Für den Fall, dass ganze Leistungsphasen nicht beauftragt werden sollten:</w:t>
      </w:r>
    </w:p>
    <w:p w:rsidR="005E2EB8" w:rsidRPr="005E2EB8" w:rsidRDefault="005E2EB8" w:rsidP="006224A8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 w:rsidR="006224A8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6224A8" w:rsidRDefault="006224A8" w:rsidP="006224A8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6224A8" w:rsidRDefault="006224A8" w:rsidP="006224A8">
      <w:pPr>
        <w:keepNext/>
        <w:keepLines/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6224A8">
      <w:pPr>
        <w:keepNext/>
        <w:keepLines/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Statt dieser Leistungsphasen wird beauftragt: </w:t>
      </w:r>
    </w:p>
    <w:p w:rsidR="006224A8" w:rsidRDefault="006224A8" w:rsidP="006224A8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 xml:space="preserve">Gemäß </w:t>
      </w:r>
    </w:p>
    <w:p w:rsidR="005E2EB8" w:rsidRPr="005E2EB8" w:rsidRDefault="006224A8" w:rsidP="006224A8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>§ 9 HOAI</w:t>
      </w:r>
    </w:p>
    <w:p w:rsidR="005E2EB8" w:rsidRPr="005E2EB8" w:rsidRDefault="005E2EB8" w:rsidP="005B3056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-1306085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Vorplanung oder Entwurfsplanung als Einzelleistung </w:t>
      </w:r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  <w:r w:rsidRPr="005E2EB8">
        <w:rPr>
          <w:rFonts w:ascii="Arial" w:hAnsi="Arial" w:cs="Arial"/>
          <w:sz w:val="20"/>
          <w:szCs w:val="20"/>
        </w:rPr>
        <w:t>%</w:t>
      </w:r>
    </w:p>
    <w:p w:rsidR="006224A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1.2 Besondere Leistungen (§ 51 und Anlage 14.1 HOAI):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6224A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6224A8" w:rsidP="006224A8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  <w:t xml:space="preserve">            </w:t>
      </w:r>
      <w:r w:rsidR="005E2EB8" w:rsidRPr="005E2EB8">
        <w:rPr>
          <w:rFonts w:ascii="Arial" w:hAnsi="Arial" w:cs="Arial"/>
          <w:sz w:val="20"/>
          <w:szCs w:val="20"/>
        </w:rPr>
        <w:t>Honorarhöhe:</w:t>
      </w:r>
    </w:p>
    <w:p w:rsidR="005E2EB8" w:rsidRPr="005E2EB8" w:rsidRDefault="006224A8" w:rsidP="006224A8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>pauschal / als Stundensatz /</w:t>
      </w:r>
    </w:p>
    <w:p w:rsidR="005E2EB8" w:rsidRPr="005E2EB8" w:rsidRDefault="006224A8" w:rsidP="006224A8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>als Prozentsatz vom Honorar</w:t>
      </w:r>
    </w:p>
    <w:p w:rsidR="005E2EB8" w:rsidRPr="005E2EB8" w:rsidRDefault="006224A8" w:rsidP="006224A8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2EB8" w:rsidRPr="005E2EB8">
        <w:rPr>
          <w:rFonts w:ascii="Arial" w:hAnsi="Arial" w:cs="Arial"/>
          <w:sz w:val="20"/>
          <w:szCs w:val="20"/>
        </w:rPr>
        <w:t>für Leistungen gemäß § 1.1</w:t>
      </w:r>
    </w:p>
    <w:p w:rsidR="005E2EB8" w:rsidRPr="005E2EB8" w:rsidRDefault="005E2EB8" w:rsidP="006224A8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208380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Nachweis zum konstruktiven Brandschutz, soweit</w:t>
      </w:r>
    </w:p>
    <w:p w:rsidR="005E2EB8" w:rsidRPr="005E2EB8" w:rsidRDefault="005E2EB8" w:rsidP="005B3056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erforderlich unter Berücksichtigung der Temperatur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(Heißbemessung)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29342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Berechnung und Konstruktion der Baubehelfe, sofern kein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Ingenieurbauwerk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-1397812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Statische Nachweise an nicht zum Tragwerk gehörende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Konstruktionen (z. B. Fassaden)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11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313595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Prüfen von Werkstattzeichnungen im Stahlbau auf Übereinstimmung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mit der Genehmigungsplanung und den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Ausführungszeichnungen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-1968106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Konstruktion und Nachweise der Anschlüsse im Stahl- und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Holzbau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541246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Werkstattzeichnungen im Stahl- und Holzbau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-1192604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Elementpläne für Stahlbetonfertigteile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15 </w:t>
      </w:r>
      <w:sdt>
        <w:sdtPr>
          <w:rPr>
            <w:rFonts w:ascii="Arial" w:hAnsi="Arial" w:cs="Arial"/>
            <w:sz w:val="20"/>
            <w:szCs w:val="20"/>
          </w:rPr>
          <w:id w:val="-88626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Mitwirken bei der Prüfung und Wertung von Nebenangeboten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102541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Ingenieurtechnische Kontrolle der Ausführung des Tragwerks</w:t>
      </w:r>
      <w:r w:rsidR="006224A8">
        <w:rPr>
          <w:rFonts w:ascii="Arial" w:hAnsi="Arial" w:cs="Arial"/>
          <w:sz w:val="20"/>
          <w:szCs w:val="20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auf Übereinstimmung mit den geprüften statischen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Unterlagen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-2000029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Ingenieurtechnische Kontrolle der Baubehelfe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-62407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Koordinierung externer Tragwerksplaner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19 </w:t>
      </w:r>
      <w:sdt>
        <w:sdtPr>
          <w:rPr>
            <w:rFonts w:ascii="Arial" w:hAnsi="Arial" w:cs="Arial"/>
            <w:sz w:val="20"/>
            <w:szCs w:val="20"/>
          </w:rPr>
          <w:id w:val="599220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Bei Umbauten und Modernisierungen: Mitwirken bei der</w:t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Überwachung der Ausführung der Tragwerkseingriffe</w:t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lastRenderedPageBreak/>
        <w:t>20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417784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21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116289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22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389489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23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005666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24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042665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25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656450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5B3056">
      <w:pPr>
        <w:tabs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26</w:t>
      </w:r>
      <w:r w:rsidR="006224A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593856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3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ab/>
      </w:r>
      <w:r w:rsidR="006224A8">
        <w:rPr>
          <w:rFonts w:ascii="Arial" w:hAnsi="Arial" w:cs="Arial"/>
          <w:sz w:val="20"/>
          <w:szCs w:val="20"/>
        </w:rPr>
        <w:tab/>
      </w:r>
      <w:r w:rsidR="005B3056" w:rsidRPr="00E95537">
        <w:rPr>
          <w:shd w:val="clear" w:color="auto" w:fill="D9D9D9" w:themeFill="background1" w:themeFillShade="D9"/>
        </w:rPr>
        <w:tab/>
      </w:r>
    </w:p>
    <w:p w:rsidR="006224A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§ 2 Stufenweise Beauftragung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1. Stufe:</w:t>
      </w:r>
    </w:p>
    <w:p w:rsidR="005E2EB8" w:rsidRPr="005E2EB8" w:rsidRDefault="005E2EB8" w:rsidP="00640AC3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Ordnungsnummern:</w:t>
      </w:r>
      <w:r w:rsidR="006224A8">
        <w:rPr>
          <w:rFonts w:ascii="Arial" w:hAnsi="Arial" w:cs="Arial"/>
          <w:sz w:val="20"/>
          <w:szCs w:val="20"/>
        </w:rPr>
        <w:t xml:space="preserve"> </w:t>
      </w:r>
      <w:r w:rsidR="00640AC3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640AC3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2. Stufe:</w:t>
      </w:r>
    </w:p>
    <w:p w:rsidR="005E2EB8" w:rsidRPr="005E2EB8" w:rsidRDefault="005E2EB8" w:rsidP="00640AC3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Ordnungsnummern:</w:t>
      </w:r>
      <w:r w:rsidR="006224A8" w:rsidRPr="006224A8">
        <w:rPr>
          <w:rFonts w:ascii="Arial" w:hAnsi="Arial" w:cs="Arial"/>
          <w:sz w:val="20"/>
          <w:szCs w:val="20"/>
        </w:rPr>
        <w:t xml:space="preserve"> </w:t>
      </w:r>
      <w:r w:rsidR="00640AC3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640AC3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3. Stufe:</w:t>
      </w:r>
    </w:p>
    <w:p w:rsidR="005E2EB8" w:rsidRPr="005E2EB8" w:rsidRDefault="005E2EB8" w:rsidP="00640AC3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Ordnungsnummern:</w:t>
      </w:r>
      <w:r w:rsidR="006224A8" w:rsidRPr="006224A8">
        <w:rPr>
          <w:rFonts w:ascii="Arial" w:hAnsi="Arial" w:cs="Arial"/>
          <w:sz w:val="20"/>
          <w:szCs w:val="20"/>
        </w:rPr>
        <w:t xml:space="preserve"> </w:t>
      </w:r>
      <w:r w:rsidR="00640AC3" w:rsidRPr="00E95537">
        <w:rPr>
          <w:shd w:val="clear" w:color="auto" w:fill="D9D9D9" w:themeFill="background1" w:themeFillShade="D9"/>
        </w:rPr>
        <w:tab/>
      </w:r>
    </w:p>
    <w:p w:rsidR="006224A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3.1 Honorargrundlagen für Grundleistungen (§ 51 Abs. 5 i.V.m. Anlage 14.1 HOAI)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Honorarzone (§ 52 Abs. 2 i.V.m. Anlage 14.2 HOAI):</w:t>
      </w:r>
      <w:r w:rsidR="006224A8" w:rsidRPr="006224A8">
        <w:rPr>
          <w:rStyle w:val="Funotenzeichen"/>
          <w:rFonts w:ascii="Arial" w:hAnsi="Arial" w:cs="Arial"/>
          <w:b/>
          <w:sz w:val="24"/>
          <w:szCs w:val="24"/>
        </w:rPr>
        <w:footnoteReference w:id="1"/>
      </w:r>
    </w:p>
    <w:p w:rsidR="005E2EB8" w:rsidRPr="005E2EB8" w:rsidRDefault="00906CF2" w:rsidP="00640AC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6209527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40AC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6224A8">
        <w:rPr>
          <w:rFonts w:ascii="Arial" w:hAnsi="Arial" w:cs="Arial"/>
          <w:sz w:val="20"/>
          <w:szCs w:val="20"/>
        </w:rPr>
        <w:t xml:space="preserve"> </w:t>
      </w:r>
      <w:r w:rsidR="00640AC3" w:rsidRPr="00E95537">
        <w:rPr>
          <w:shd w:val="clear" w:color="auto" w:fill="D9D9D9" w:themeFill="background1" w:themeFillShade="D9"/>
        </w:rPr>
        <w:tab/>
      </w:r>
      <w:r w:rsidR="005E2EB8" w:rsidRPr="005E2EB8">
        <w:rPr>
          <w:rFonts w:ascii="Arial" w:hAnsi="Arial" w:cs="Arial"/>
          <w:sz w:val="20"/>
          <w:szCs w:val="20"/>
        </w:rPr>
        <w:t>als vorläufige Festlegung (bis zum Feststehen aller für den Schwierigkeitsgrad maßgeblichen</w:t>
      </w:r>
      <w:r w:rsidR="00640AC3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Bewertungsmerkmale)</w:t>
      </w:r>
    </w:p>
    <w:p w:rsidR="005E2EB8" w:rsidRPr="005E2EB8" w:rsidRDefault="00906CF2" w:rsidP="00640AC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81638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A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 xml:space="preserve"> </w:t>
      </w:r>
      <w:r w:rsidR="00640AC3" w:rsidRPr="00E95537">
        <w:rPr>
          <w:shd w:val="clear" w:color="auto" w:fill="D9D9D9" w:themeFill="background1" w:themeFillShade="D9"/>
        </w:rPr>
        <w:tab/>
      </w:r>
      <w:r w:rsidR="006224A8">
        <w:rPr>
          <w:rFonts w:ascii="Arial" w:hAnsi="Arial" w:cs="Arial"/>
          <w:sz w:val="20"/>
          <w:szCs w:val="20"/>
        </w:rPr>
        <w:t xml:space="preserve"> a</w:t>
      </w:r>
      <w:r w:rsidR="005E2EB8" w:rsidRPr="005E2EB8">
        <w:rPr>
          <w:rFonts w:ascii="Arial" w:hAnsi="Arial" w:cs="Arial"/>
          <w:sz w:val="20"/>
          <w:szCs w:val="20"/>
        </w:rPr>
        <w:t>ls abschließende Festlegung</w:t>
      </w:r>
    </w:p>
    <w:p w:rsidR="006224A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Default="006224A8" w:rsidP="00640AC3">
      <w:pPr>
        <w:tabs>
          <w:tab w:val="left" w:pos="311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Honorar bzw. </w:t>
      </w:r>
      <w:r w:rsidR="005E2EB8" w:rsidRPr="005E2EB8">
        <w:rPr>
          <w:rFonts w:ascii="Arial" w:hAnsi="Arial" w:cs="Arial"/>
          <w:sz w:val="20"/>
          <w:szCs w:val="20"/>
        </w:rPr>
        <w:t>Honorarsatz:</w:t>
      </w:r>
      <w:r w:rsidRPr="006224A8">
        <w:rPr>
          <w:rStyle w:val="Funotenzeichen"/>
          <w:rFonts w:ascii="Arial" w:hAnsi="Arial" w:cs="Arial"/>
          <w:b/>
          <w:sz w:val="24"/>
          <w:szCs w:val="24"/>
        </w:rPr>
        <w:footnoteReference w:id="2"/>
      </w:r>
      <w:r w:rsidR="005E2EB8" w:rsidRPr="006224A8">
        <w:rPr>
          <w:rStyle w:val="Funotenzeichen"/>
          <w:b/>
          <w:sz w:val="24"/>
          <w:szCs w:val="24"/>
        </w:rPr>
        <w:t xml:space="preserve"> </w:t>
      </w:r>
      <w:r w:rsidR="00640AC3" w:rsidRPr="00E95537">
        <w:rPr>
          <w:shd w:val="clear" w:color="auto" w:fill="D9D9D9" w:themeFill="background1" w:themeFillShade="D9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(§ 52 Abs. 1 HOAI)</w:t>
      </w:r>
    </w:p>
    <w:p w:rsidR="0085786E" w:rsidRPr="005E2EB8" w:rsidRDefault="00906CF2" w:rsidP="00640AC3">
      <w:pPr>
        <w:tabs>
          <w:tab w:val="left" w:pos="311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61176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5786E">
        <w:rPr>
          <w:rFonts w:ascii="Arial" w:hAnsi="Arial" w:cs="Arial"/>
          <w:sz w:val="20"/>
          <w:szCs w:val="20"/>
        </w:rPr>
        <w:t xml:space="preserve"> Zu- bzw. Abschlag in % </w:t>
      </w:r>
      <w:r w:rsidR="00640AC3" w:rsidRPr="00E95537">
        <w:rPr>
          <w:shd w:val="clear" w:color="auto" w:fill="D9D9D9" w:themeFill="background1" w:themeFillShade="D9"/>
        </w:rPr>
        <w:tab/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Die Ermittlung der anrechenbaren Kosten erfolgt</w:t>
      </w:r>
    </w:p>
    <w:p w:rsidR="005E2EB8" w:rsidRPr="005E2EB8" w:rsidRDefault="00906CF2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32049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gemäß § 50 Abs. 1 HOAI</w:t>
      </w:r>
    </w:p>
    <w:p w:rsidR="005E2EB8" w:rsidRDefault="00906CF2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50310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224A8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gemäß § 50 Abs. 2, 3 HOAI</w:t>
      </w:r>
    </w:p>
    <w:p w:rsidR="006224A8" w:rsidRPr="005E2EB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640AC3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Zuschlag für Umbau/Modernisierung: </w:t>
      </w:r>
      <w:r w:rsidR="00640AC3" w:rsidRPr="00E95537">
        <w:rPr>
          <w:shd w:val="clear" w:color="auto" w:fill="D9D9D9" w:themeFill="background1" w:themeFillShade="D9"/>
        </w:rPr>
        <w:tab/>
      </w:r>
      <w:r w:rsidR="006224A8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% (§ 52 Abs. 4 HOAI)</w:t>
      </w:r>
    </w:p>
    <w:p w:rsidR="006224A8" w:rsidRDefault="006224A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lastRenderedPageBreak/>
        <w:t>Unabhängig vom Umbauzuschlag sind anrechenbare Kosten aus vorhandener Bausubstanz gemäß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§4 Abs. 3 HOAI angemessen zu berücksichtigen. Diese werden</w:t>
      </w:r>
    </w:p>
    <w:p w:rsidR="005E2EB8" w:rsidRPr="005E2EB8" w:rsidRDefault="00906CF2" w:rsidP="00640AC3">
      <w:p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20870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75B77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 xml:space="preserve">mit </w:t>
      </w:r>
      <w:r w:rsidR="00640AC3" w:rsidRPr="00E95537">
        <w:rPr>
          <w:shd w:val="clear" w:color="auto" w:fill="D9D9D9" w:themeFill="background1" w:themeFillShade="D9"/>
        </w:rPr>
        <w:tab/>
      </w:r>
      <w:r w:rsidR="005E2EB8" w:rsidRPr="005E2EB8">
        <w:rPr>
          <w:rFonts w:ascii="Arial" w:hAnsi="Arial" w:cs="Arial"/>
          <w:sz w:val="20"/>
          <w:szCs w:val="20"/>
        </w:rPr>
        <w:t>€ festgelegt.</w:t>
      </w:r>
    </w:p>
    <w:p w:rsidR="005E2EB8" w:rsidRPr="005E2EB8" w:rsidRDefault="00906CF2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2971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75B77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noch einvernehmlich festgelegt.</w:t>
      </w:r>
    </w:p>
    <w:p w:rsidR="005E2EB8" w:rsidRDefault="00906CF2" w:rsidP="00D75B77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65923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75B77">
        <w:rPr>
          <w:rFonts w:ascii="Arial" w:hAnsi="Arial" w:cs="Arial"/>
          <w:sz w:val="20"/>
          <w:szCs w:val="20"/>
        </w:rPr>
        <w:tab/>
      </w:r>
      <w:r w:rsidR="005E2EB8" w:rsidRPr="00D75B77">
        <w:rPr>
          <w:rFonts w:ascii="Arial" w:hAnsi="Arial" w:cs="Arial"/>
          <w:sz w:val="20"/>
          <w:szCs w:val="20"/>
        </w:rPr>
        <w:t>Die Nachrechnung der mitverwendeten Bausubstanz erfolgt nach Aufwand gemäß den in § 4.3 des</w:t>
      </w:r>
      <w:r w:rsidR="00D75B77" w:rsidRPr="00D75B77">
        <w:rPr>
          <w:rFonts w:ascii="Arial" w:hAnsi="Arial" w:cs="Arial"/>
          <w:sz w:val="20"/>
          <w:szCs w:val="20"/>
        </w:rPr>
        <w:t xml:space="preserve"> </w:t>
      </w:r>
      <w:r w:rsidR="005E2EB8" w:rsidRPr="00D75B77">
        <w:rPr>
          <w:rFonts w:ascii="Arial" w:hAnsi="Arial" w:cs="Arial"/>
          <w:sz w:val="20"/>
          <w:szCs w:val="20"/>
        </w:rPr>
        <w:t>Teils A dieses Ingenieurvertrags vereinbarten Stundensätzen</w:t>
      </w:r>
    </w:p>
    <w:p w:rsidR="00D75B77" w:rsidRPr="00D75B77" w:rsidRDefault="00D75B77" w:rsidP="00D75B77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Gemäß § 50 Abs. 5 HOAI wird vereinbart, dass die Kosten der nachfolgenden Arbeiten zu den anrechenbaren</w:t>
      </w:r>
      <w:r w:rsidR="00080B7D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Kosten gehören:</w:t>
      </w:r>
    </w:p>
    <w:p w:rsidR="005E2EB8" w:rsidRPr="00080B7D" w:rsidRDefault="00906CF2" w:rsidP="00080B7D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835198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0B7D">
        <w:rPr>
          <w:rFonts w:ascii="Arial" w:hAnsi="Arial" w:cs="Arial"/>
          <w:sz w:val="20"/>
          <w:szCs w:val="20"/>
        </w:rPr>
        <w:tab/>
      </w:r>
      <w:r w:rsidR="005E2EB8" w:rsidRPr="00080B7D">
        <w:rPr>
          <w:rFonts w:ascii="Arial" w:hAnsi="Arial" w:cs="Arial"/>
          <w:sz w:val="20"/>
          <w:szCs w:val="20"/>
        </w:rPr>
        <w:t>Abbrechen von Bauwerkteilen</w:t>
      </w:r>
    </w:p>
    <w:p w:rsidR="00080B7D" w:rsidRPr="00080B7D" w:rsidRDefault="00906CF2" w:rsidP="00640AC3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41344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40AC3">
        <w:rPr>
          <w:rFonts w:ascii="Arial" w:hAnsi="Arial" w:cs="Arial"/>
          <w:sz w:val="20"/>
          <w:szCs w:val="20"/>
        </w:rPr>
        <w:tab/>
      </w:r>
      <w:r w:rsidR="00640AC3" w:rsidRPr="00E95537">
        <w:rPr>
          <w:shd w:val="clear" w:color="auto" w:fill="D9D9D9" w:themeFill="background1" w:themeFillShade="D9"/>
        </w:rPr>
        <w:tab/>
      </w:r>
    </w:p>
    <w:p w:rsidR="00080B7D" w:rsidRDefault="00080B7D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Bei Ingenieurbauwerken mit großer Längenausdehnung können Abschläge vereinbart werden. Das dazu</w:t>
      </w:r>
      <w:r w:rsidR="00080B7D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erforderliche Missverhältnis zwischen Aufwand und Honorar wird wie folgt begründet:</w:t>
      </w:r>
    </w:p>
    <w:p w:rsidR="00080B7D" w:rsidRDefault="00080B7D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Nebenkosten: siehe Teil A § 4.4</w:t>
      </w:r>
    </w:p>
    <w:p w:rsidR="00080B7D" w:rsidRDefault="00080B7D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Für die bereits beauftragten Besonderen Leistungen ist die Honorarhöhe in § 1.2 festgelegt.</w:t>
      </w:r>
    </w:p>
    <w:p w:rsidR="005E2EB8" w:rsidRPr="005E2EB8" w:rsidRDefault="005E2EB8" w:rsidP="00080B7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Für Besondere Leistungen, die nachträglich beauftragt werden, werden AG und AN eine Vergütungsvereinbarung</w:t>
      </w:r>
      <w:r w:rsidR="00080B7D">
        <w:rPr>
          <w:rFonts w:ascii="Arial" w:hAnsi="Arial" w:cs="Arial"/>
          <w:sz w:val="20"/>
          <w:szCs w:val="20"/>
        </w:rPr>
        <w:t xml:space="preserve"> treffen. Treffen die Parteien keine Vergütungsvereinbarung erfolgt die Abrechnung nach den</w:t>
      </w:r>
      <w:r w:rsidRPr="005E2EB8">
        <w:rPr>
          <w:rFonts w:ascii="Arial" w:hAnsi="Arial" w:cs="Arial"/>
          <w:sz w:val="20"/>
          <w:szCs w:val="20"/>
        </w:rPr>
        <w:t xml:space="preserve"> in</w:t>
      </w:r>
      <w:r w:rsidR="00080B7D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Teil A dieses Ingenieurvertrags vereinbarten Stundensätze</w:t>
      </w:r>
      <w:r w:rsidR="00080B7D">
        <w:rPr>
          <w:rFonts w:ascii="Arial" w:hAnsi="Arial" w:cs="Arial"/>
          <w:sz w:val="20"/>
          <w:szCs w:val="20"/>
        </w:rPr>
        <w:t>n</w:t>
      </w:r>
      <w:r w:rsidRPr="005E2EB8">
        <w:rPr>
          <w:rFonts w:ascii="Arial" w:hAnsi="Arial" w:cs="Arial"/>
          <w:sz w:val="20"/>
          <w:szCs w:val="20"/>
        </w:rPr>
        <w:t>.</w:t>
      </w:r>
    </w:p>
    <w:p w:rsidR="005603F7" w:rsidRDefault="005603F7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3.3 Vergütung bei anrechenbaren Kosten außerhalb der Tafelwerte des § 52 Abs. 1 HOAI</w:t>
      </w:r>
    </w:p>
    <w:p w:rsidR="005E2EB8" w:rsidRPr="005603F7" w:rsidRDefault="005603F7" w:rsidP="005603F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Falls die Parteien in § 3.1. ein Berechnungshonorar auf Basis der</w:t>
      </w:r>
      <w:r w:rsidR="005E2EB8" w:rsidRPr="005603F7">
        <w:rPr>
          <w:rFonts w:ascii="Arial" w:hAnsi="Arial" w:cs="Arial"/>
          <w:sz w:val="20"/>
          <w:szCs w:val="20"/>
        </w:rPr>
        <w:t xml:space="preserve"> anrechenbaren Kosten des Objekts </w:t>
      </w:r>
      <w:r>
        <w:rPr>
          <w:rFonts w:ascii="Arial" w:hAnsi="Arial" w:cs="Arial"/>
          <w:sz w:val="20"/>
          <w:szCs w:val="20"/>
        </w:rPr>
        <w:t xml:space="preserve">getroffen haben und liegen die anrechenbaren Kosten </w:t>
      </w:r>
      <w:r w:rsidR="00A1213D">
        <w:rPr>
          <w:rFonts w:ascii="Arial" w:hAnsi="Arial" w:cs="Arial"/>
          <w:sz w:val="20"/>
          <w:szCs w:val="20"/>
        </w:rPr>
        <w:t>außerhalb der dort genannten Tafelwerte</w:t>
      </w:r>
      <w:r w:rsidRPr="00A1213D">
        <w:rPr>
          <w:rStyle w:val="Funotenzeichen"/>
          <w:rFonts w:ascii="Arial" w:hAnsi="Arial" w:cs="Arial"/>
          <w:b/>
          <w:sz w:val="24"/>
          <w:szCs w:val="24"/>
        </w:rPr>
        <w:footnoteReference w:id="3"/>
      </w:r>
      <w:r w:rsidR="005E2EB8" w:rsidRPr="005603F7">
        <w:rPr>
          <w:rFonts w:ascii="Arial" w:hAnsi="Arial" w:cs="Arial"/>
          <w:sz w:val="20"/>
          <w:szCs w:val="20"/>
        </w:rPr>
        <w:t>, vereinbaren AG und</w:t>
      </w:r>
      <w:r w:rsidRPr="005603F7">
        <w:rPr>
          <w:rFonts w:ascii="Arial" w:hAnsi="Arial" w:cs="Arial"/>
          <w:sz w:val="20"/>
          <w:szCs w:val="20"/>
        </w:rPr>
        <w:t xml:space="preserve"> </w:t>
      </w:r>
      <w:r w:rsidR="005E2EB8" w:rsidRPr="005603F7">
        <w:rPr>
          <w:rFonts w:ascii="Arial" w:hAnsi="Arial" w:cs="Arial"/>
          <w:sz w:val="20"/>
          <w:szCs w:val="20"/>
        </w:rPr>
        <w:t>AN die Honorarhöhe wie folgt:</w:t>
      </w:r>
    </w:p>
    <w:p w:rsidR="005E2EB8" w:rsidRPr="005E2EB8" w:rsidRDefault="00906CF2" w:rsidP="002E4ACB">
      <w:pPr>
        <w:pStyle w:val="Listenabsatz"/>
        <w:tabs>
          <w:tab w:val="left" w:pos="851"/>
        </w:tabs>
        <w:autoSpaceDE w:val="0"/>
        <w:autoSpaceDN w:val="0"/>
        <w:adjustRightInd w:val="0"/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6025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A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E4ACB">
        <w:rPr>
          <w:rFonts w:ascii="Arial" w:hAnsi="Arial" w:cs="Arial"/>
          <w:sz w:val="20"/>
          <w:szCs w:val="20"/>
        </w:rPr>
        <w:tab/>
      </w:r>
      <w:r w:rsidR="005E2EB8" w:rsidRPr="00A1213D">
        <w:rPr>
          <w:rFonts w:ascii="Arial" w:hAnsi="Arial" w:cs="Arial"/>
          <w:sz w:val="20"/>
          <w:szCs w:val="20"/>
        </w:rPr>
        <w:t>Das Honorar bestimmt sich nach den in diesem Vertrag (insbesondere Teil B § 3.1 für Grundleistungen,</w:t>
      </w:r>
      <w:r w:rsidR="002E4ACB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§ 1.2 für Besondere Leistungen und Teil A § 4.4) getroffenen Vereinbarungen. Es</w:t>
      </w:r>
      <w:r w:rsidR="002E4ACB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ergibt sich aus der Fortschreibung der Honorartafel des § 52 HOAI durch die Richtlinien der</w:t>
      </w:r>
      <w:r w:rsidR="002E4ACB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Staatlichen Vermögens- und Hochbauverwaltung Baden-Württemberg für die Beteiligung freiberuflich</w:t>
      </w:r>
      <w:r w:rsidR="002E4ACB">
        <w:rPr>
          <w:rFonts w:ascii="Arial" w:hAnsi="Arial" w:cs="Arial"/>
          <w:sz w:val="20"/>
          <w:szCs w:val="20"/>
        </w:rPr>
        <w:t xml:space="preserve"> </w:t>
      </w:r>
      <w:r w:rsidR="005E2EB8" w:rsidRPr="005E2EB8">
        <w:rPr>
          <w:rFonts w:ascii="Arial" w:hAnsi="Arial" w:cs="Arial"/>
          <w:sz w:val="20"/>
          <w:szCs w:val="20"/>
        </w:rPr>
        <w:t>Tätiger (</w:t>
      </w:r>
      <w:proofErr w:type="spellStart"/>
      <w:r w:rsidR="005E2EB8" w:rsidRPr="005E2EB8">
        <w:rPr>
          <w:rFonts w:ascii="Arial" w:hAnsi="Arial" w:cs="Arial"/>
          <w:sz w:val="20"/>
          <w:szCs w:val="20"/>
        </w:rPr>
        <w:t>RifT</w:t>
      </w:r>
      <w:proofErr w:type="spellEnd"/>
      <w:r w:rsidR="005E2EB8" w:rsidRPr="005E2EB8">
        <w:rPr>
          <w:rFonts w:ascii="Arial" w:hAnsi="Arial" w:cs="Arial"/>
          <w:sz w:val="20"/>
          <w:szCs w:val="20"/>
        </w:rPr>
        <w:t>) gemäß Anlage B3.1.</w:t>
      </w:r>
    </w:p>
    <w:p w:rsidR="005E2EB8" w:rsidRPr="00A1213D" w:rsidRDefault="00906CF2" w:rsidP="002E4ACB">
      <w:pPr>
        <w:pStyle w:val="Listenabsatz"/>
        <w:tabs>
          <w:tab w:val="left" w:pos="851"/>
        </w:tabs>
        <w:autoSpaceDE w:val="0"/>
        <w:autoSpaceDN w:val="0"/>
        <w:adjustRightInd w:val="0"/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43914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A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E4ACB">
        <w:rPr>
          <w:rFonts w:ascii="Arial" w:hAnsi="Arial" w:cs="Arial"/>
          <w:sz w:val="20"/>
          <w:szCs w:val="20"/>
        </w:rPr>
        <w:tab/>
      </w:r>
      <w:r w:rsidR="005E2EB8" w:rsidRPr="00A1213D">
        <w:rPr>
          <w:rFonts w:ascii="Arial" w:hAnsi="Arial" w:cs="Arial"/>
          <w:sz w:val="20"/>
          <w:szCs w:val="20"/>
        </w:rPr>
        <w:t>Die Honorarhöhe wird (ggf. ergänzend zu in diesem Vertrag bereits getroffenen</w:t>
      </w:r>
      <w:r w:rsidR="00A1213D" w:rsidRPr="00A1213D">
        <w:rPr>
          <w:rFonts w:ascii="Arial" w:hAnsi="Arial" w:cs="Arial"/>
          <w:sz w:val="20"/>
          <w:szCs w:val="20"/>
        </w:rPr>
        <w:t xml:space="preserve"> </w:t>
      </w:r>
      <w:r w:rsidR="005E2EB8" w:rsidRPr="00A1213D">
        <w:rPr>
          <w:rFonts w:ascii="Arial" w:hAnsi="Arial" w:cs="Arial"/>
          <w:sz w:val="20"/>
          <w:szCs w:val="20"/>
        </w:rPr>
        <w:t>Vereinbarungen) wie folgt vereinbart:</w:t>
      </w:r>
    </w:p>
    <w:p w:rsidR="00360232" w:rsidRDefault="00360232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017986">
      <w:pPr>
        <w:keepNext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lastRenderedPageBreak/>
        <w:t>3.4 Fortschreibung der Kostenberechnung, Honorarzone bei Änderungen</w:t>
      </w:r>
    </w:p>
    <w:p w:rsidR="005E2EB8" w:rsidRPr="005E2EB8" w:rsidRDefault="005E2EB8" w:rsidP="003E23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Bei Änderungen oder Erweiterungen des Bauobjektes bzw. der Planungsvorgaben ist die Kostenberechnung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 xml:space="preserve">für die Honorarermittlung </w:t>
      </w:r>
      <w:r w:rsidR="003E2399">
        <w:rPr>
          <w:rFonts w:ascii="Arial" w:hAnsi="Arial" w:cs="Arial"/>
          <w:sz w:val="20"/>
          <w:szCs w:val="20"/>
        </w:rPr>
        <w:t xml:space="preserve">falls die Parteien die Kostenberechnung als Grundlage der Honorarermittlung vereinbart haben </w:t>
      </w:r>
      <w:r w:rsidRPr="005E2EB8">
        <w:rPr>
          <w:rFonts w:ascii="Arial" w:hAnsi="Arial" w:cs="Arial"/>
          <w:sz w:val="20"/>
          <w:szCs w:val="20"/>
        </w:rPr>
        <w:t>entsprechend fortzuschreiben. Der AG verpflichtet sich, den AN über derartige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Umstände zu informieren und dem AN auf Verlangen die maßgeblichen Unterlagen bzw. Nachweise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bezüglich der fortgeschriebenen Kostenberechnung oder die fortgeschriebene Kostenberechnung zukommen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zu lassen.</w:t>
      </w:r>
    </w:p>
    <w:p w:rsidR="005E2EB8" w:rsidRDefault="005E2EB8" w:rsidP="00906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906CF2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Honorarzone.</w:t>
      </w:r>
    </w:p>
    <w:p w:rsidR="003E2399" w:rsidRPr="005E2EB8" w:rsidRDefault="003E2399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§ 10 HOAI bleibt unberührt.</w:t>
      </w:r>
    </w:p>
    <w:p w:rsidR="003E2399" w:rsidRPr="005E2EB8" w:rsidRDefault="003E2399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3.5 Planung auf Basis vorläufiger statt abgeschlossener Planungen des Objektplaners</w:t>
      </w:r>
    </w:p>
    <w:p w:rsidR="005E2EB8" w:rsidRDefault="005E2EB8" w:rsidP="003E23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Der AN erbringt seine Planungsleistungen ab der Leistungsphase 4 grundsätzlich auf Basis abgeschlossener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Planungen des Objektplaners. Soweit dem AN aufgegeben wird, auf der Basis vorläufiger Pläne zu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arbeiten, oder soweit Pläne geändert werden, kann sich das Honorar entsprechend erhöhen (vgl. auch § 4.2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des Teiles A). Der AN ist in diesem Fall berechtigt, den zusätzlichen Aufwand nach den vereinbarten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Stundensätzen (Teil A, § 4.3) abzurec</w:t>
      </w:r>
      <w:r w:rsidR="003E2399">
        <w:rPr>
          <w:rFonts w:ascii="Arial" w:hAnsi="Arial" w:cs="Arial"/>
          <w:sz w:val="20"/>
          <w:szCs w:val="20"/>
        </w:rPr>
        <w:t>hnen, falls die Parteien keine anderweitige Honorarvereinbarung treffen.</w:t>
      </w:r>
    </w:p>
    <w:p w:rsidR="003E2399" w:rsidRPr="005E2EB8" w:rsidRDefault="003E2399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§ 4 Koordinierung im Falle der Beauftragung von Teilstati</w:t>
      </w:r>
      <w:r w:rsidR="00017986">
        <w:rPr>
          <w:rFonts w:ascii="Arial" w:hAnsi="Arial" w:cs="Arial"/>
          <w:b/>
          <w:bCs/>
          <w:sz w:val="20"/>
          <w:szCs w:val="20"/>
        </w:rPr>
        <w:t>sti</w:t>
      </w:r>
      <w:r w:rsidRPr="005E2EB8">
        <w:rPr>
          <w:rFonts w:ascii="Arial" w:hAnsi="Arial" w:cs="Arial"/>
          <w:b/>
          <w:bCs/>
          <w:sz w:val="20"/>
          <w:szCs w:val="20"/>
        </w:rPr>
        <w:t>ken / mehreren Tragwerksplanern</w:t>
      </w:r>
    </w:p>
    <w:p w:rsidR="005E2EB8" w:rsidRDefault="005E2EB8" w:rsidP="003E23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Für den Fall, dass der AG mehrere Tragwerksplaner jeweils mit der Erbringung von Teilleistungen beauftragt,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verpflichtet sich der AG zur Festlegung des koordinierenden Tragwerksplaners sowie dazu, den koordinierenden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Tragwerksplaner zur Erbringung der entsprechenden Leistungen (Koordinieren und Abstimmen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der verschiedenen Tragwerksplaner) zu verpflichten. Der AG informiert den koordinierenden Tragwerksplaner</w:t>
      </w:r>
      <w:r w:rsidR="003E2399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über die Beauftragung weiterer Tragwerksplaner.</w:t>
      </w:r>
    </w:p>
    <w:p w:rsidR="003E2399" w:rsidRPr="005E2EB8" w:rsidRDefault="003E2399" w:rsidP="003E23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Koordinierender Tragwerksplaner ist:</w:t>
      </w:r>
      <w:r w:rsidR="00906CF2" w:rsidRPr="00906CF2">
        <w:rPr>
          <w:shd w:val="clear" w:color="auto" w:fill="D9D9D9" w:themeFill="background1" w:themeFillShade="D9"/>
        </w:rPr>
        <w:t xml:space="preserve"> </w:t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 w:rsidRPr="00E95537">
        <w:rPr>
          <w:shd w:val="clear" w:color="auto" w:fill="D9D9D9" w:themeFill="background1" w:themeFillShade="D9"/>
        </w:rPr>
        <w:tab/>
      </w:r>
    </w:p>
    <w:p w:rsidR="003E2399" w:rsidRDefault="003E2399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5E2EB8" w:rsidRP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t>§ 5 Planungsgrundlagen</w:t>
      </w:r>
    </w:p>
    <w:p w:rsid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264247">
        <w:rPr>
          <w:rFonts w:ascii="Arial" w:hAnsi="Arial" w:cs="Arial"/>
          <w:sz w:val="20"/>
          <w:szCs w:val="20"/>
        </w:rPr>
        <w:t xml:space="preserve"> </w:t>
      </w:r>
      <w:r w:rsidRPr="005E2EB8">
        <w:rPr>
          <w:rFonts w:ascii="Arial" w:hAnsi="Arial" w:cs="Arial"/>
          <w:sz w:val="20"/>
          <w:szCs w:val="20"/>
        </w:rPr>
        <w:t>sind:</w:t>
      </w:r>
      <w:r w:rsidR="00906CF2" w:rsidRPr="00906CF2">
        <w:rPr>
          <w:rFonts w:ascii="Arial" w:hAnsi="Arial" w:cs="Arial"/>
          <w:sz w:val="20"/>
          <w:szCs w:val="20"/>
        </w:rPr>
        <w:t xml:space="preserve"> </w:t>
      </w:r>
      <w:r w:rsidR="00906CF2" w:rsidRPr="005E2EB8">
        <w:rPr>
          <w:rFonts w:ascii="Arial" w:hAnsi="Arial" w:cs="Arial"/>
          <w:sz w:val="20"/>
          <w:szCs w:val="20"/>
        </w:rPr>
        <w:t>:</w:t>
      </w:r>
      <w:r w:rsidR="00906CF2" w:rsidRPr="00906CF2">
        <w:rPr>
          <w:shd w:val="clear" w:color="auto" w:fill="D9D9D9" w:themeFill="background1" w:themeFillShade="D9"/>
        </w:rPr>
        <w:t xml:space="preserve"> </w:t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 w:rsidRPr="00E95537">
        <w:rPr>
          <w:shd w:val="clear" w:color="auto" w:fill="D9D9D9" w:themeFill="background1" w:themeFillShade="D9"/>
        </w:rPr>
        <w:tab/>
      </w:r>
    </w:p>
    <w:p w:rsidR="00264247" w:rsidRPr="005E2EB8" w:rsidRDefault="00264247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Default="005E2EB8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Bereits vorliegende Unterlagen:</w:t>
      </w:r>
      <w:r w:rsidR="00906CF2" w:rsidRPr="00906CF2">
        <w:rPr>
          <w:rFonts w:ascii="Arial" w:hAnsi="Arial" w:cs="Arial"/>
          <w:sz w:val="20"/>
          <w:szCs w:val="20"/>
        </w:rPr>
        <w:t xml:space="preserve"> </w:t>
      </w:r>
      <w:r w:rsidR="00906CF2" w:rsidRPr="00906CF2">
        <w:rPr>
          <w:shd w:val="clear" w:color="auto" w:fill="D9D9D9" w:themeFill="background1" w:themeFillShade="D9"/>
        </w:rPr>
        <w:t xml:space="preserve"> </w:t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 w:rsidRPr="00E95537">
        <w:rPr>
          <w:shd w:val="clear" w:color="auto" w:fill="D9D9D9" w:themeFill="background1" w:themeFillShade="D9"/>
        </w:rPr>
        <w:tab/>
      </w:r>
    </w:p>
    <w:p w:rsidR="00264247" w:rsidRPr="005E2EB8" w:rsidRDefault="00264247" w:rsidP="00F32F1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Default="005E2EB8" w:rsidP="002642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Noch nicht vorliegende Unterlagen:</w:t>
      </w:r>
      <w:r w:rsidR="00906CF2" w:rsidRPr="00906CF2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r w:rsidR="00906CF2" w:rsidRPr="00906CF2">
        <w:rPr>
          <w:shd w:val="clear" w:color="auto" w:fill="D9D9D9" w:themeFill="background1" w:themeFillShade="D9"/>
        </w:rPr>
        <w:t xml:space="preserve"> </w:t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>
        <w:rPr>
          <w:shd w:val="clear" w:color="auto" w:fill="D9D9D9" w:themeFill="background1" w:themeFillShade="D9"/>
        </w:rPr>
        <w:tab/>
      </w:r>
      <w:r w:rsidR="00906CF2" w:rsidRPr="00E95537">
        <w:rPr>
          <w:shd w:val="clear" w:color="auto" w:fill="D9D9D9" w:themeFill="background1" w:themeFillShade="D9"/>
        </w:rPr>
        <w:tab/>
      </w:r>
    </w:p>
    <w:p w:rsidR="00264247" w:rsidRDefault="00264247" w:rsidP="002642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968CF" w:rsidRDefault="001968CF" w:rsidP="002642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5E2EB8" w:rsidRPr="005E2EB8" w:rsidRDefault="005E2EB8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rFonts w:ascii="Arial" w:hAnsi="Arial" w:cs="Arial"/>
          <w:b/>
          <w:bCs/>
          <w:sz w:val="20"/>
          <w:szCs w:val="20"/>
        </w:rPr>
      </w:pPr>
      <w:r w:rsidRPr="005E2EB8">
        <w:rPr>
          <w:rFonts w:ascii="Arial" w:hAnsi="Arial" w:cs="Arial"/>
          <w:b/>
          <w:bCs/>
          <w:sz w:val="20"/>
          <w:szCs w:val="20"/>
        </w:rPr>
        <w:lastRenderedPageBreak/>
        <w:t>§ 6 Sonstige Vereinbarungen</w:t>
      </w:r>
    </w:p>
    <w:p w:rsidR="00906CF2" w:rsidRDefault="005E2EB8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>AG und AN treffen folgende weitere Vereinbarungen:</w:t>
      </w:r>
      <w:r w:rsidR="00906CF2" w:rsidRPr="00906CF2">
        <w:rPr>
          <w:rFonts w:ascii="Arial" w:hAnsi="Arial" w:cs="Arial"/>
          <w:sz w:val="20"/>
          <w:szCs w:val="20"/>
        </w:rPr>
        <w:t xml:space="preserve"> </w:t>
      </w:r>
    </w:p>
    <w:p w:rsidR="005E2EB8" w:rsidRDefault="00906CF2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shd w:val="clear" w:color="auto" w:fill="D9D9D9" w:themeFill="background1" w:themeFillShade="D9"/>
        </w:rPr>
      </w:pPr>
      <w:r w:rsidRPr="00906CF2">
        <w:rPr>
          <w:shd w:val="clear" w:color="auto" w:fill="D9D9D9" w:themeFill="background1" w:themeFillShade="D9"/>
        </w:rPr>
        <w:t xml:space="preserve"> </w:t>
      </w:r>
      <w:r>
        <w:rPr>
          <w:shd w:val="clear" w:color="auto" w:fill="D9D9D9" w:themeFill="background1" w:themeFillShade="D9"/>
        </w:rPr>
        <w:tab/>
      </w:r>
      <w:r>
        <w:rPr>
          <w:shd w:val="clear" w:color="auto" w:fill="D9D9D9" w:themeFill="background1" w:themeFillShade="D9"/>
        </w:rPr>
        <w:tab/>
      </w:r>
      <w:r>
        <w:rPr>
          <w:shd w:val="clear" w:color="auto" w:fill="D9D9D9" w:themeFill="background1" w:themeFillShade="D9"/>
        </w:rPr>
        <w:tab/>
      </w:r>
      <w:r w:rsidRPr="00E95537">
        <w:rPr>
          <w:shd w:val="clear" w:color="auto" w:fill="D9D9D9" w:themeFill="background1" w:themeFillShade="D9"/>
        </w:rPr>
        <w:tab/>
      </w:r>
    </w:p>
    <w:p w:rsidR="00906CF2" w:rsidRDefault="00906CF2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shd w:val="clear" w:color="auto" w:fill="D9D9D9" w:themeFill="background1" w:themeFillShade="D9"/>
        </w:rPr>
      </w:pPr>
    </w:p>
    <w:p w:rsidR="00906CF2" w:rsidRDefault="00906CF2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shd w:val="clear" w:color="auto" w:fill="D9D9D9" w:themeFill="background1" w:themeFillShade="D9"/>
        </w:rPr>
      </w:pPr>
    </w:p>
    <w:p w:rsidR="00906CF2" w:rsidRDefault="00906CF2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shd w:val="clear" w:color="auto" w:fill="D9D9D9" w:themeFill="background1" w:themeFillShade="D9"/>
        </w:rPr>
      </w:pPr>
    </w:p>
    <w:p w:rsidR="00906CF2" w:rsidRDefault="00906CF2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shd w:val="clear" w:color="auto" w:fill="D9D9D9" w:themeFill="background1" w:themeFillShade="D9"/>
        </w:rPr>
      </w:pPr>
    </w:p>
    <w:p w:rsidR="00906CF2" w:rsidRDefault="00906CF2" w:rsidP="00106EBC">
      <w:pPr>
        <w:keepNext/>
        <w:keepLines/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264247" w:rsidRPr="005E2EB8" w:rsidRDefault="00106EBC" w:rsidP="00106EBC">
      <w:pPr>
        <w:keepNext/>
        <w:keepLines/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</w:t>
      </w:r>
      <w:r>
        <w:rPr>
          <w:rFonts w:ascii="Arial" w:hAnsi="Arial" w:cs="Arial"/>
          <w:sz w:val="20"/>
          <w:szCs w:val="20"/>
        </w:rPr>
        <w:tab/>
        <w:t>_____________________</w:t>
      </w:r>
    </w:p>
    <w:p w:rsidR="005E2EB8" w:rsidRDefault="005E2EB8" w:rsidP="00106EBC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Ort, Datum </w:t>
      </w:r>
      <w:r w:rsidR="00264247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Ort, Datum</w:t>
      </w:r>
    </w:p>
    <w:p w:rsidR="00106EBC" w:rsidRDefault="00106EBC" w:rsidP="00106EBC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106EBC" w:rsidRDefault="00106EBC" w:rsidP="00106EBC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106EBC" w:rsidRDefault="00106EBC" w:rsidP="00106EBC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264247" w:rsidRPr="005E2EB8" w:rsidRDefault="00106EBC" w:rsidP="00106EBC">
      <w:pPr>
        <w:keepNext/>
        <w:keepLines/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</w:t>
      </w:r>
      <w:r>
        <w:rPr>
          <w:rFonts w:ascii="Arial" w:hAnsi="Arial" w:cs="Arial"/>
          <w:sz w:val="20"/>
          <w:szCs w:val="20"/>
        </w:rPr>
        <w:tab/>
        <w:t>______________________</w:t>
      </w:r>
    </w:p>
    <w:p w:rsidR="00264247" w:rsidRDefault="005E2EB8" w:rsidP="00106EBC">
      <w:pPr>
        <w:keepNext/>
        <w:keepLines/>
        <w:tabs>
          <w:tab w:val="left" w:pos="6237"/>
        </w:tabs>
        <w:spacing w:after="120" w:line="264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für den AG </w:t>
      </w:r>
      <w:r w:rsidR="00264247"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für den AN</w:t>
      </w:r>
    </w:p>
    <w:sectPr w:rsidR="00264247" w:rsidSect="003E239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040" w:rsidRDefault="00291040" w:rsidP="006224A8">
      <w:pPr>
        <w:spacing w:after="0" w:line="240" w:lineRule="auto"/>
      </w:pPr>
      <w:r>
        <w:separator/>
      </w:r>
    </w:p>
  </w:endnote>
  <w:endnote w:type="continuationSeparator" w:id="0">
    <w:p w:rsidR="00291040" w:rsidRDefault="00291040" w:rsidP="00622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040" w:rsidRDefault="00291040" w:rsidP="006224A8">
      <w:pPr>
        <w:spacing w:after="0" w:line="240" w:lineRule="auto"/>
      </w:pPr>
      <w:r>
        <w:separator/>
      </w:r>
    </w:p>
  </w:footnote>
  <w:footnote w:type="continuationSeparator" w:id="0">
    <w:p w:rsidR="00291040" w:rsidRDefault="00291040" w:rsidP="006224A8">
      <w:pPr>
        <w:spacing w:after="0" w:line="240" w:lineRule="auto"/>
      </w:pPr>
      <w:r>
        <w:continuationSeparator/>
      </w:r>
    </w:p>
  </w:footnote>
  <w:footnote w:id="1">
    <w:p w:rsidR="006224A8" w:rsidRDefault="006224A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17263E">
        <w:rPr>
          <w:rFonts w:ascii="Arial" w:hAnsi="Arial" w:cs="Arial"/>
          <w:sz w:val="18"/>
          <w:szCs w:val="18"/>
        </w:rPr>
        <w:t xml:space="preserve">Die Vereinbarung einer Honorarzone ist nur erforderlich, wenn die Parteien ein Berechnungshonorar </w:t>
      </w:r>
      <w:r>
        <w:rPr>
          <w:rFonts w:ascii="Arial" w:hAnsi="Arial" w:cs="Arial"/>
          <w:sz w:val="18"/>
          <w:szCs w:val="18"/>
        </w:rPr>
        <w:t>nach den Regelungen der HOAI vereinbaren.</w:t>
      </w:r>
    </w:p>
  </w:footnote>
  <w:footnote w:id="2">
    <w:p w:rsidR="006224A8" w:rsidRDefault="006224A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513ADD">
        <w:rPr>
          <w:rFonts w:ascii="Arial" w:hAnsi="Arial" w:cs="Arial"/>
          <w:sz w:val="18"/>
          <w:szCs w:val="18"/>
        </w:rPr>
        <w:t xml:space="preserve">Es besteht keine Bindung </w:t>
      </w:r>
      <w:r>
        <w:rPr>
          <w:rFonts w:ascii="Arial" w:hAnsi="Arial" w:cs="Arial"/>
          <w:sz w:val="18"/>
          <w:szCs w:val="18"/>
        </w:rPr>
        <w:t>an § 7 Abs. 1 HOAI (Mindest- und Höchstsätze) in der derzeit gültigen Fassung. Das Honorar kann grundsätzlich frei vereinbart werden. Wird das Honorar als Berechnungshonorar unter Bezugnahme auf die Honorarsätze des § 48 Abs. 1 HOAI vereinbart, können Zu- bzw. Abschläge auf die Honorarsätze vereinbart werden, die für die Berechnung des Honorars maßgeblich sind.</w:t>
      </w:r>
    </w:p>
  </w:footnote>
  <w:footnote w:id="3">
    <w:p w:rsidR="005603F7" w:rsidRPr="005603F7" w:rsidRDefault="005603F7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5603F7">
        <w:rPr>
          <w:rFonts w:ascii="Arial" w:hAnsi="Arial" w:cs="Arial"/>
          <w:sz w:val="18"/>
          <w:szCs w:val="18"/>
        </w:rPr>
        <w:t xml:space="preserve">Die Tafelwerte der HOAI als Bezugsgröße für ein Berechnungshonorar sind nicht gesetzlich bindend.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3E2399" w:rsidRPr="003E2399" w:rsidRDefault="003E2399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-</w:t>
        </w:r>
        <w:r w:rsidRPr="003E2399">
          <w:rPr>
            <w:rFonts w:ascii="Arial" w:hAnsi="Arial" w:cs="Arial"/>
            <w:sz w:val="20"/>
            <w:szCs w:val="20"/>
          </w:rPr>
          <w:t xml:space="preserve"> </w:t>
        </w:r>
        <w:r w:rsidRPr="003E2399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3E2399">
          <w:rPr>
            <w:rFonts w:ascii="Arial" w:hAnsi="Arial" w:cs="Arial"/>
            <w:bCs/>
            <w:sz w:val="20"/>
            <w:szCs w:val="20"/>
          </w:rPr>
          <w:instrText>PAGE</w:instrText>
        </w:r>
        <w:r w:rsidRPr="003E2399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906CF2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3E2399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sz w:val="20"/>
            <w:szCs w:val="20"/>
          </w:rPr>
          <w:t xml:space="preserve"> /</w:t>
        </w:r>
        <w:r w:rsidRPr="003E2399">
          <w:rPr>
            <w:rFonts w:ascii="Arial" w:hAnsi="Arial" w:cs="Arial"/>
            <w:sz w:val="20"/>
            <w:szCs w:val="20"/>
          </w:rPr>
          <w:t xml:space="preserve"> </w:t>
        </w:r>
        <w:r w:rsidRPr="003E2399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3E2399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3E2399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906CF2">
          <w:rPr>
            <w:rFonts w:ascii="Arial" w:hAnsi="Arial" w:cs="Arial"/>
            <w:bCs/>
            <w:noProof/>
            <w:sz w:val="20"/>
            <w:szCs w:val="20"/>
          </w:rPr>
          <w:t>6</w:t>
        </w:r>
        <w:r w:rsidRPr="003E2399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3E2399" w:rsidRDefault="003E239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55B90"/>
    <w:multiLevelType w:val="hybridMultilevel"/>
    <w:tmpl w:val="4DD44CEC"/>
    <w:lvl w:ilvl="0" w:tplc="4E322726">
      <w:start w:val="5"/>
      <w:numFmt w:val="bullet"/>
      <w:lvlText w:val=""/>
      <w:lvlJc w:val="left"/>
      <w:pPr>
        <w:ind w:left="643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6A017922"/>
    <w:multiLevelType w:val="hybridMultilevel"/>
    <w:tmpl w:val="B8DEC1C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728E5"/>
    <w:multiLevelType w:val="hybridMultilevel"/>
    <w:tmpl w:val="17B625F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3 Detaillierte Regelungen für den Leistungsbereich Tragwerksplanung"/>
    <w:docVar w:name="DDNr" w:val="D18/D356-20"/>
    <w:docVar w:name="DDNummerPH" w:val="fehlt"/>
    <w:docVar w:name="EAStatus" w:val="0"/>
    <w:docVar w:name="RADKS" w:val="#;$a;@"/>
    <w:docVar w:name="Rubrik" w:val="solleer"/>
    <w:docVar w:name="Schlagwort" w:val="solleer"/>
  </w:docVars>
  <w:rsids>
    <w:rsidRoot w:val="00341AB6"/>
    <w:rsid w:val="0001306D"/>
    <w:rsid w:val="00017986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80B7D"/>
    <w:rsid w:val="00092DA9"/>
    <w:rsid w:val="00095B56"/>
    <w:rsid w:val="000A2C27"/>
    <w:rsid w:val="000B3AF5"/>
    <w:rsid w:val="000D6482"/>
    <w:rsid w:val="000F2F41"/>
    <w:rsid w:val="000F5268"/>
    <w:rsid w:val="00106EBC"/>
    <w:rsid w:val="0011378A"/>
    <w:rsid w:val="00114E89"/>
    <w:rsid w:val="00140C0D"/>
    <w:rsid w:val="0014118C"/>
    <w:rsid w:val="0014355B"/>
    <w:rsid w:val="00155210"/>
    <w:rsid w:val="001576A5"/>
    <w:rsid w:val="00165A2E"/>
    <w:rsid w:val="0019094C"/>
    <w:rsid w:val="00192FE6"/>
    <w:rsid w:val="001968CF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06F1F"/>
    <w:rsid w:val="00221457"/>
    <w:rsid w:val="00223B76"/>
    <w:rsid w:val="0025039E"/>
    <w:rsid w:val="00257F59"/>
    <w:rsid w:val="00264247"/>
    <w:rsid w:val="00266211"/>
    <w:rsid w:val="00272720"/>
    <w:rsid w:val="002732ED"/>
    <w:rsid w:val="00280D6D"/>
    <w:rsid w:val="002846C4"/>
    <w:rsid w:val="00291040"/>
    <w:rsid w:val="00292022"/>
    <w:rsid w:val="002A00C3"/>
    <w:rsid w:val="002A1704"/>
    <w:rsid w:val="002A47EE"/>
    <w:rsid w:val="002B2E9A"/>
    <w:rsid w:val="002B6FC8"/>
    <w:rsid w:val="002C7835"/>
    <w:rsid w:val="002D22F9"/>
    <w:rsid w:val="002E2601"/>
    <w:rsid w:val="002E4ACB"/>
    <w:rsid w:val="002E6B06"/>
    <w:rsid w:val="002F092B"/>
    <w:rsid w:val="00300968"/>
    <w:rsid w:val="00315D48"/>
    <w:rsid w:val="00335D27"/>
    <w:rsid w:val="00337133"/>
    <w:rsid w:val="00341AB6"/>
    <w:rsid w:val="003424A2"/>
    <w:rsid w:val="00343671"/>
    <w:rsid w:val="0034544C"/>
    <w:rsid w:val="00345CCC"/>
    <w:rsid w:val="00350B33"/>
    <w:rsid w:val="00352B94"/>
    <w:rsid w:val="0035324C"/>
    <w:rsid w:val="00360232"/>
    <w:rsid w:val="0037631A"/>
    <w:rsid w:val="0038265C"/>
    <w:rsid w:val="00386F81"/>
    <w:rsid w:val="0039067B"/>
    <w:rsid w:val="003A10D4"/>
    <w:rsid w:val="003A2144"/>
    <w:rsid w:val="003A6195"/>
    <w:rsid w:val="003A66EE"/>
    <w:rsid w:val="003B114C"/>
    <w:rsid w:val="003C1296"/>
    <w:rsid w:val="003C39ED"/>
    <w:rsid w:val="003C4CF5"/>
    <w:rsid w:val="003E2399"/>
    <w:rsid w:val="003E2EE8"/>
    <w:rsid w:val="00401881"/>
    <w:rsid w:val="004042E8"/>
    <w:rsid w:val="00407CD7"/>
    <w:rsid w:val="00421100"/>
    <w:rsid w:val="0042218F"/>
    <w:rsid w:val="004250AC"/>
    <w:rsid w:val="0042775A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7E9D"/>
    <w:rsid w:val="004949B0"/>
    <w:rsid w:val="004B4E1B"/>
    <w:rsid w:val="004B537F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03F7"/>
    <w:rsid w:val="00565E42"/>
    <w:rsid w:val="00587D38"/>
    <w:rsid w:val="0059112C"/>
    <w:rsid w:val="0059138E"/>
    <w:rsid w:val="005A2C48"/>
    <w:rsid w:val="005B3056"/>
    <w:rsid w:val="005C1425"/>
    <w:rsid w:val="005C2B15"/>
    <w:rsid w:val="005C3528"/>
    <w:rsid w:val="005C769D"/>
    <w:rsid w:val="005E2EB8"/>
    <w:rsid w:val="005E40CF"/>
    <w:rsid w:val="005F5528"/>
    <w:rsid w:val="00602062"/>
    <w:rsid w:val="0061035C"/>
    <w:rsid w:val="006114FF"/>
    <w:rsid w:val="00612858"/>
    <w:rsid w:val="00620E0C"/>
    <w:rsid w:val="006224A8"/>
    <w:rsid w:val="006243EF"/>
    <w:rsid w:val="00632CB7"/>
    <w:rsid w:val="00640AC3"/>
    <w:rsid w:val="00643FEF"/>
    <w:rsid w:val="006472AA"/>
    <w:rsid w:val="00653263"/>
    <w:rsid w:val="006636E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24499"/>
    <w:rsid w:val="00724FD2"/>
    <w:rsid w:val="007251C0"/>
    <w:rsid w:val="0074015A"/>
    <w:rsid w:val="00744EA1"/>
    <w:rsid w:val="0074662C"/>
    <w:rsid w:val="007504F6"/>
    <w:rsid w:val="00751128"/>
    <w:rsid w:val="00751765"/>
    <w:rsid w:val="0076379A"/>
    <w:rsid w:val="007845AD"/>
    <w:rsid w:val="00785824"/>
    <w:rsid w:val="00791BEB"/>
    <w:rsid w:val="007A45BE"/>
    <w:rsid w:val="007A4F42"/>
    <w:rsid w:val="007A6050"/>
    <w:rsid w:val="007A66A7"/>
    <w:rsid w:val="007B7537"/>
    <w:rsid w:val="007C1323"/>
    <w:rsid w:val="007C44D0"/>
    <w:rsid w:val="007D0468"/>
    <w:rsid w:val="007D1151"/>
    <w:rsid w:val="007E618C"/>
    <w:rsid w:val="007F4087"/>
    <w:rsid w:val="008106FF"/>
    <w:rsid w:val="00815E4B"/>
    <w:rsid w:val="0082228B"/>
    <w:rsid w:val="0082230C"/>
    <w:rsid w:val="00826E1B"/>
    <w:rsid w:val="008378D8"/>
    <w:rsid w:val="0085603A"/>
    <w:rsid w:val="00856FE1"/>
    <w:rsid w:val="0085786E"/>
    <w:rsid w:val="008855CE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06CF2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66D8"/>
    <w:rsid w:val="009F1FFE"/>
    <w:rsid w:val="009F392E"/>
    <w:rsid w:val="009F3FB3"/>
    <w:rsid w:val="009F4B77"/>
    <w:rsid w:val="009F5B1E"/>
    <w:rsid w:val="00A1213D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31576"/>
    <w:rsid w:val="00B33CAA"/>
    <w:rsid w:val="00B37607"/>
    <w:rsid w:val="00B431AF"/>
    <w:rsid w:val="00B46735"/>
    <w:rsid w:val="00B60A94"/>
    <w:rsid w:val="00B74C52"/>
    <w:rsid w:val="00B74C84"/>
    <w:rsid w:val="00B76776"/>
    <w:rsid w:val="00B7708C"/>
    <w:rsid w:val="00B85E72"/>
    <w:rsid w:val="00B86C63"/>
    <w:rsid w:val="00B92E2F"/>
    <w:rsid w:val="00B964DF"/>
    <w:rsid w:val="00BA59B1"/>
    <w:rsid w:val="00BE7A51"/>
    <w:rsid w:val="00BF4E3C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5B77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3503"/>
    <w:rsid w:val="00E17B72"/>
    <w:rsid w:val="00E212BC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F00E44"/>
    <w:rsid w:val="00F03E7B"/>
    <w:rsid w:val="00F272DA"/>
    <w:rsid w:val="00F32EAD"/>
    <w:rsid w:val="00F32F19"/>
    <w:rsid w:val="00F40D2C"/>
    <w:rsid w:val="00F42D8C"/>
    <w:rsid w:val="00F4458B"/>
    <w:rsid w:val="00F570BC"/>
    <w:rsid w:val="00F5718A"/>
    <w:rsid w:val="00F81AB0"/>
    <w:rsid w:val="00F91663"/>
    <w:rsid w:val="00F9235B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BB79"/>
  <w15:chartTrackingRefBased/>
  <w15:docId w15:val="{3CED7E3B-C36E-4A31-8C22-4F256048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E2E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E2E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F32F19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6224A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224A8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224A8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3E2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399"/>
  </w:style>
  <w:style w:type="paragraph" w:styleId="Fuzeile">
    <w:name w:val="footer"/>
    <w:basedOn w:val="Standard"/>
    <w:link w:val="FuzeileZchn"/>
    <w:uiPriority w:val="99"/>
    <w:unhideWhenUsed/>
    <w:rsid w:val="003E2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E239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7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7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5B892-8545-4C3C-A2D2-1EF64DBC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1151</Words>
  <Characters>7256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2020-03-06T07:55:00Z</cp:lastPrinted>
  <dcterms:created xsi:type="dcterms:W3CDTF">2020-08-19T09:32:00Z</dcterms:created>
  <dcterms:modified xsi:type="dcterms:W3CDTF">2020-08-19T09:32:00Z</dcterms:modified>
</cp:coreProperties>
</file>