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CB8D2" w14:textId="77777777" w:rsidR="00D442D8" w:rsidRDefault="00C04E28">
      <w:pPr>
        <w:spacing w:before="360" w:after="100"/>
      </w:pPr>
      <w:r>
        <w:rPr>
          <w:b/>
          <w:color w:val="246B8E"/>
          <w:sz w:val="19"/>
        </w:rPr>
        <w:t>VERGABEUNTERLAGE 02</w:t>
      </w:r>
    </w:p>
    <w:p w14:paraId="47EB3C69" w14:textId="77777777" w:rsidR="00D442D8" w:rsidRDefault="00C04E28">
      <w:pPr>
        <w:pStyle w:val="Titel"/>
      </w:pPr>
      <w:r>
        <w:t>Leistungsbeschreibung und Vertragsbedingungen</w:t>
      </w:r>
    </w:p>
    <w:p w14:paraId="2679662E" w14:textId="77777777" w:rsidR="00D442D8" w:rsidRDefault="00C04E28">
      <w:pPr>
        <w:pStyle w:val="Untertitel"/>
      </w:pPr>
      <w:r>
        <w:t>Funktions- und Mindestanforderungen für eine modulare Büroanlage</w:t>
      </w:r>
    </w:p>
    <w:tbl>
      <w:tblPr>
        <w:tblW w:w="0" w:type="auto"/>
        <w:tblBorders>
          <w:top w:val="single" w:sz="0" w:space="0" w:color="E3E7EA"/>
          <w:left w:val="single" w:sz="0" w:space="0" w:color="E3E7EA"/>
          <w:bottom w:val="single" w:sz="0" w:space="0" w:color="E3E7EA"/>
          <w:right w:val="single" w:sz="0" w:space="0" w:color="E3E7EA"/>
          <w:insideH w:val="single" w:sz="2" w:space="0" w:color="E3E7EA"/>
          <w:insideV w:val="single" w:sz="2" w:space="0" w:color="E3E7EA"/>
        </w:tblBorders>
        <w:tblLayout w:type="fixed"/>
        <w:tblLook w:val="04A0" w:firstRow="1" w:lastRow="0" w:firstColumn="1" w:lastColumn="0" w:noHBand="0" w:noVBand="1"/>
      </w:tblPr>
      <w:tblGrid>
        <w:gridCol w:w="2154"/>
        <w:gridCol w:w="7314"/>
      </w:tblGrid>
      <w:tr w:rsidR="00D442D8" w14:paraId="367E90E1" w14:textId="77777777">
        <w:tc>
          <w:tcPr>
            <w:tcW w:w="2154" w:type="dxa"/>
            <w:tcMar>
              <w:top w:w="55" w:type="dxa"/>
              <w:left w:w="0" w:type="dxa"/>
              <w:bottom w:w="55" w:type="dxa"/>
              <w:right w:w="80" w:type="dxa"/>
            </w:tcMar>
            <w:vAlign w:val="center"/>
          </w:tcPr>
          <w:p w14:paraId="1A51CAFB" w14:textId="77777777" w:rsidR="00D442D8" w:rsidRDefault="00C04E28">
            <w:r>
              <w:rPr>
                <w:b/>
                <w:color w:val="6B747C"/>
                <w:sz w:val="18"/>
              </w:rPr>
              <w:t>Projekt</w:t>
            </w:r>
          </w:p>
        </w:tc>
        <w:tc>
          <w:tcPr>
            <w:tcW w:w="7314" w:type="dxa"/>
            <w:tcMar>
              <w:top w:w="55" w:type="dxa"/>
              <w:left w:w="0" w:type="dxa"/>
              <w:bottom w:w="55" w:type="dxa"/>
              <w:right w:w="80" w:type="dxa"/>
            </w:tcMar>
            <w:vAlign w:val="center"/>
          </w:tcPr>
          <w:p w14:paraId="4EE4B19C" w14:textId="77777777" w:rsidR="00D442D8" w:rsidRDefault="00C04E28">
            <w:r>
              <w:t>BTMU2602 Schaffung zusätzlicher Arbeitsplätze</w:t>
            </w:r>
          </w:p>
        </w:tc>
      </w:tr>
      <w:tr w:rsidR="00D442D8" w14:paraId="31C06281" w14:textId="77777777">
        <w:tc>
          <w:tcPr>
            <w:tcW w:w="2154" w:type="dxa"/>
            <w:tcMar>
              <w:top w:w="55" w:type="dxa"/>
              <w:left w:w="0" w:type="dxa"/>
              <w:bottom w:w="55" w:type="dxa"/>
              <w:right w:w="80" w:type="dxa"/>
            </w:tcMar>
            <w:vAlign w:val="center"/>
          </w:tcPr>
          <w:p w14:paraId="3088CE19" w14:textId="77777777" w:rsidR="00D442D8" w:rsidRDefault="00C04E28">
            <w:r>
              <w:rPr>
                <w:b/>
                <w:color w:val="6B747C"/>
                <w:sz w:val="18"/>
              </w:rPr>
              <w:t>Leistungsort</w:t>
            </w:r>
          </w:p>
        </w:tc>
        <w:tc>
          <w:tcPr>
            <w:tcW w:w="7314" w:type="dxa"/>
            <w:tcMar>
              <w:top w:w="55" w:type="dxa"/>
              <w:left w:w="0" w:type="dxa"/>
              <w:bottom w:w="55" w:type="dxa"/>
              <w:right w:w="80" w:type="dxa"/>
            </w:tcMar>
            <w:vAlign w:val="center"/>
          </w:tcPr>
          <w:p w14:paraId="0B575E11" w14:textId="77777777" w:rsidR="00D442D8" w:rsidRDefault="00C04E28">
            <w:r>
              <w:rPr>
                <w:sz w:val="19"/>
              </w:rPr>
              <w:t>Hermann-Hesse-Straße 34, 75417 Mühlacker</w:t>
            </w:r>
          </w:p>
        </w:tc>
      </w:tr>
      <w:tr w:rsidR="00D442D8" w14:paraId="30798759" w14:textId="77777777">
        <w:tc>
          <w:tcPr>
            <w:tcW w:w="2154" w:type="dxa"/>
            <w:tcMar>
              <w:top w:w="55" w:type="dxa"/>
              <w:left w:w="0" w:type="dxa"/>
              <w:bottom w:w="55" w:type="dxa"/>
              <w:right w:w="80" w:type="dxa"/>
            </w:tcMar>
            <w:vAlign w:val="center"/>
          </w:tcPr>
          <w:p w14:paraId="3C8FCEC6" w14:textId="77777777" w:rsidR="00D442D8" w:rsidRDefault="00C04E28">
            <w:r>
              <w:rPr>
                <w:b/>
                <w:color w:val="6B747C"/>
                <w:sz w:val="18"/>
              </w:rPr>
              <w:t>Vertragsmodell</w:t>
            </w:r>
          </w:p>
        </w:tc>
        <w:tc>
          <w:tcPr>
            <w:tcW w:w="7314" w:type="dxa"/>
            <w:tcMar>
              <w:top w:w="55" w:type="dxa"/>
              <w:left w:w="0" w:type="dxa"/>
              <w:bottom w:w="55" w:type="dxa"/>
              <w:right w:w="80" w:type="dxa"/>
            </w:tcMar>
            <w:vAlign w:val="center"/>
          </w:tcPr>
          <w:p w14:paraId="73FC4896" w14:textId="77777777" w:rsidR="00D442D8" w:rsidRDefault="00C04E28">
            <w:r>
              <w:rPr>
                <w:sz w:val="19"/>
              </w:rPr>
              <w:t>Kauf- und Werkvertrag; schlüsselfertige Errichtung und Eigentumsübertragung</w:t>
            </w:r>
          </w:p>
        </w:tc>
      </w:tr>
      <w:tr w:rsidR="00D442D8" w14:paraId="691CF2D9" w14:textId="77777777">
        <w:tc>
          <w:tcPr>
            <w:tcW w:w="2154" w:type="dxa"/>
            <w:tcMar>
              <w:top w:w="55" w:type="dxa"/>
              <w:left w:w="0" w:type="dxa"/>
              <w:bottom w:w="55" w:type="dxa"/>
              <w:right w:w="80" w:type="dxa"/>
            </w:tcMar>
            <w:vAlign w:val="center"/>
          </w:tcPr>
          <w:p w14:paraId="414A27B1" w14:textId="77777777" w:rsidR="00D442D8" w:rsidRDefault="00C04E28">
            <w:r>
              <w:rPr>
                <w:b/>
                <w:color w:val="6B747C"/>
                <w:sz w:val="18"/>
              </w:rPr>
              <w:t>Geplante Übergabe</w:t>
            </w:r>
          </w:p>
        </w:tc>
        <w:tc>
          <w:tcPr>
            <w:tcW w:w="7314" w:type="dxa"/>
            <w:tcMar>
              <w:top w:w="55" w:type="dxa"/>
              <w:left w:w="0" w:type="dxa"/>
              <w:bottom w:w="55" w:type="dxa"/>
              <w:right w:w="80" w:type="dxa"/>
            </w:tcMar>
            <w:vAlign w:val="center"/>
          </w:tcPr>
          <w:p w14:paraId="54E17A48" w14:textId="77777777" w:rsidR="00D442D8" w:rsidRDefault="00C04E28">
            <w:r>
              <w:rPr>
                <w:sz w:val="19"/>
              </w:rPr>
              <w:t>Spätestens 15.10.2026</w:t>
            </w:r>
          </w:p>
        </w:tc>
      </w:tr>
      <w:tr w:rsidR="00D442D8" w14:paraId="2E951911" w14:textId="77777777">
        <w:tc>
          <w:tcPr>
            <w:tcW w:w="2154" w:type="dxa"/>
            <w:tcMar>
              <w:top w:w="55" w:type="dxa"/>
              <w:left w:w="0" w:type="dxa"/>
              <w:bottom w:w="55" w:type="dxa"/>
              <w:right w:w="80" w:type="dxa"/>
            </w:tcMar>
            <w:vAlign w:val="center"/>
          </w:tcPr>
          <w:p w14:paraId="169D4EBE" w14:textId="77777777" w:rsidR="00D442D8" w:rsidRDefault="00C04E28">
            <w:r>
              <w:rPr>
                <w:b/>
                <w:color w:val="6B747C"/>
                <w:sz w:val="18"/>
              </w:rPr>
              <w:t>Anlagen</w:t>
            </w:r>
          </w:p>
        </w:tc>
        <w:tc>
          <w:tcPr>
            <w:tcW w:w="7314" w:type="dxa"/>
            <w:tcMar>
              <w:top w:w="55" w:type="dxa"/>
              <w:left w:w="0" w:type="dxa"/>
              <w:bottom w:w="55" w:type="dxa"/>
              <w:right w:w="80" w:type="dxa"/>
            </w:tcMar>
            <w:vAlign w:val="center"/>
          </w:tcPr>
          <w:p w14:paraId="2BE295AF" w14:textId="77777777" w:rsidR="00D442D8" w:rsidRDefault="00C04E28">
            <w:r>
              <w:rPr>
                <w:sz w:val="19"/>
              </w:rPr>
              <w:t>Grundriss und Baustellenlogistikplan</w:t>
            </w:r>
          </w:p>
        </w:tc>
      </w:tr>
    </w:tbl>
    <w:p w14:paraId="28EF6763" w14:textId="77777777" w:rsidR="00D442D8" w:rsidRDefault="00D442D8"/>
    <w:tbl>
      <w:tblPr>
        <w:tblW w:w="0" w:type="auto"/>
        <w:tblBorders>
          <w:top w:val="single" w:sz="0" w:space="0" w:color="EAF3F7"/>
          <w:left w:val="single" w:sz="0" w:space="0" w:color="EAF3F7"/>
          <w:bottom w:val="single" w:sz="0" w:space="0" w:color="EAF3F7"/>
          <w:right w:val="single" w:sz="0" w:space="0" w:color="EAF3F7"/>
          <w:insideH w:val="single" w:sz="0" w:space="0" w:color="EAF3F7"/>
          <w:insideV w:val="single" w:sz="0" w:space="0" w:color="EAF3F7"/>
        </w:tblBorders>
        <w:tblLayout w:type="fixed"/>
        <w:tblLook w:val="04A0" w:firstRow="1" w:lastRow="0" w:firstColumn="1" w:lastColumn="0" w:noHBand="0" w:noVBand="1"/>
      </w:tblPr>
      <w:tblGrid>
        <w:gridCol w:w="9468"/>
      </w:tblGrid>
      <w:tr w:rsidR="00D442D8" w14:paraId="4799B7A9" w14:textId="77777777">
        <w:tc>
          <w:tcPr>
            <w:tcW w:w="9468" w:type="dxa"/>
            <w:shd w:val="clear" w:color="auto" w:fill="EAF3F7"/>
            <w:tcMar>
              <w:top w:w="150" w:type="dxa"/>
              <w:left w:w="180" w:type="dxa"/>
              <w:bottom w:w="150" w:type="dxa"/>
              <w:right w:w="180" w:type="dxa"/>
            </w:tcMar>
          </w:tcPr>
          <w:p w14:paraId="035DFC03" w14:textId="77777777" w:rsidR="00D442D8" w:rsidRDefault="00C04E28">
            <w:r>
              <w:rPr>
                <w:color w:val="18324A"/>
                <w:sz w:val="19"/>
              </w:rPr>
              <w:t xml:space="preserve">Die zeichnerische Anlage bildet das geforderte Raumprogramm </w:t>
            </w:r>
            <w:r>
              <w:rPr>
                <w:color w:val="18324A"/>
                <w:sz w:val="19"/>
              </w:rPr>
              <w:t>schematisch ab. Der Auftragnehmer schuldet eine eigene, prüf- und genehmigungsfähige Ausführungsplanung. Systembedingte Maßabweichungen sind zulässig, wenn Funktion, Flächen, Sicherheit und Aufstellgrenzen eingehalten werden.</w:t>
            </w:r>
          </w:p>
        </w:tc>
      </w:tr>
    </w:tbl>
    <w:p w14:paraId="6F27AD8D" w14:textId="77777777" w:rsidR="00D442D8" w:rsidRDefault="00D442D8">
      <w:pPr>
        <w:spacing w:after="0"/>
      </w:pPr>
    </w:p>
    <w:p w14:paraId="6039EE49" w14:textId="77777777" w:rsidR="00D442D8" w:rsidRDefault="00C04E28">
      <w:pPr>
        <w:pStyle w:val="berschrift1"/>
      </w:pPr>
      <w:r>
        <w:t>1. Ziel und Leistungsgegenstand</w:t>
      </w:r>
    </w:p>
    <w:p w14:paraId="29774E4C" w14:textId="77777777" w:rsidR="00D442D8" w:rsidRDefault="00C04E28">
      <w:r>
        <w:t>Geschuldet ist die rechtzeitige, sichere und betriebsbereite Herstellung und Übereignung einer eingeschossigen modularen Büroanlage auf dem Krankenhausgelände. Der Auftragnehmer übernimmt die vollständige Systemverantwortung für sein Modulgebäude einschließlich der Koordination aller eigenen Planungs-, Liefer-, Montage-, Prüf-, Inbetriebnahme- und Dokumentationsleistungen sowie seiner Nachunternehmer.</w:t>
      </w:r>
    </w:p>
    <w:p w14:paraId="6103830A" w14:textId="77777777" w:rsidR="00D442D8" w:rsidRDefault="00C04E28">
      <w:r>
        <w:t>Die Anlage wird als Büro-/Verwaltungsgebäude genutzt. Eine medizinische Behandlung, Beherbergung oder wohnungsähnliche Nutzung ist nicht vorgesehen. Der laufende Krankenhausbetrieb, Rettungswege, Zufahrten und der benachbarte Hubschrauberlandeplatz dürfen nicht beeinträchtigt werden.</w:t>
      </w:r>
    </w:p>
    <w:p w14:paraId="5EC6F0C5" w14:textId="77777777" w:rsidR="00D442D8" w:rsidRDefault="00C04E28">
      <w:pPr>
        <w:pStyle w:val="berschrift1"/>
      </w:pPr>
      <w:r>
        <w:t>2. Vertragsumfang und Leistungsgrenzen</w:t>
      </w:r>
    </w:p>
    <w:p w14:paraId="110FA31D" w14:textId="77777777" w:rsidR="00D442D8" w:rsidRDefault="00C04E28">
      <w:pPr>
        <w:pStyle w:val="berschrift2"/>
      </w:pPr>
      <w:r>
        <w:t>2.1 Vom Auftragnehmer geschuldete Gesamtleistung</w:t>
      </w:r>
    </w:p>
    <w:p w14:paraId="1FF15871" w14:textId="77777777" w:rsidR="00D442D8" w:rsidRDefault="00C04E28">
      <w:pPr>
        <w:pStyle w:val="Aufzhlungszeichen"/>
        <w:spacing w:after="50"/>
      </w:pPr>
      <w:r>
        <w:t xml:space="preserve">Bestandsaufnahme und Plausibilisierung der örtlichen Randbedingungen einschließlich Zufahrt, </w:t>
      </w:r>
      <w:proofErr w:type="spellStart"/>
      <w:r>
        <w:t>Umladefläche</w:t>
      </w:r>
      <w:proofErr w:type="spellEnd"/>
      <w:r>
        <w:t>, Kranpositionen, Aufstellfläche und Medienübergabepunkte.</w:t>
      </w:r>
    </w:p>
    <w:p w14:paraId="08DAB6C7" w14:textId="77777777" w:rsidR="00D442D8" w:rsidRDefault="00C04E28">
      <w:pPr>
        <w:pStyle w:val="Aufzhlungszeichen"/>
        <w:spacing w:after="50"/>
      </w:pPr>
      <w:r>
        <w:t>Genehmigungs-, System-, Ausführungs- und Werkplanung des angebotenen Modulgebäudes; prüffähige Systemstatik, Last-/Fundamentplan, Energie-/Wärmeschutznachweise und alle bieterseitig erforderlichen Unterlagen für Bauantrag und Brandschutz.</w:t>
      </w:r>
    </w:p>
    <w:p w14:paraId="49A2ADF5" w14:textId="77777777" w:rsidR="00D442D8" w:rsidRDefault="00C04E28">
      <w:pPr>
        <w:pStyle w:val="Aufzhlungszeichen"/>
        <w:spacing w:after="50"/>
      </w:pPr>
      <w:r>
        <w:t>Lieferung und Verkauf sämtlicher Module, Verbindungselemente, Dach-, Fassaden-, Ausbau- und Technikausstattung einschließlich der in diesen Unterlagen beschriebenen Pflichtleistungen; die Anlage geht frei von Rechten Dritter in das Eigentum des Auftraggebers über.</w:t>
      </w:r>
    </w:p>
    <w:p w14:paraId="00F87CA7" w14:textId="77777777" w:rsidR="00D442D8" w:rsidRDefault="00C04E28">
      <w:pPr>
        <w:pStyle w:val="Aufzhlungszeichen"/>
        <w:spacing w:after="50"/>
      </w:pPr>
      <w:r>
        <w:lastRenderedPageBreak/>
        <w:t>Transport einschließlich Genehmigungen, gegebenenfalls Umladung und Solo-Pendelverkehr, Kran- und Hebearbeiten, Montage, Feinausrichtung, Fugenschluss, Wetterschutz und Zusatzdach.</w:t>
      </w:r>
    </w:p>
    <w:p w14:paraId="57D2D4AE" w14:textId="77777777" w:rsidR="00D442D8" w:rsidRDefault="00C04E28">
      <w:pPr>
        <w:pStyle w:val="Aufzhlungszeichen"/>
        <w:spacing w:after="50"/>
      </w:pPr>
      <w:r>
        <w:t>Interne Verrohrung/Verkabelung sowie Anschluss der Anlage an die vom Auftraggeber bis zum vereinbarten Übergabepunkt geführten Medien; Prüfungen, Inbetriebnahme, Dokumentation, Einweisung und Baufeinreinigung.</w:t>
      </w:r>
    </w:p>
    <w:p w14:paraId="4E35F206" w14:textId="77777777" w:rsidR="00D442D8" w:rsidRDefault="00C04E28">
      <w:pPr>
        <w:pStyle w:val="Aufzhlungszeichen"/>
        <w:spacing w:after="50"/>
      </w:pPr>
      <w:r>
        <w:t>Mängelbeseitigung und Gewährleistungsservice; optional beauftragte Wartung, Inspektionen und gesetzliche Prüfungen für die ersten fünf Betriebsjahre.</w:t>
      </w:r>
    </w:p>
    <w:p w14:paraId="0692BB2E" w14:textId="77777777" w:rsidR="00D442D8" w:rsidRDefault="00C04E28">
      <w:pPr>
        <w:pStyle w:val="Aufzhlungszeichen"/>
        <w:spacing w:after="50"/>
      </w:pPr>
      <w:r>
        <w:t>Übergabe einer vollständigen Eigentums-, Bestands-, Prüf-, Bedienungs- und Wartungsdokumentation einschließlich eindeutiger Modul-/Bauteilkennzeichnung sowie aller für einen späteren Umbau, eine Demontage oder Umsetzung erforderlichen Systemunterlagen.</w:t>
      </w:r>
    </w:p>
    <w:p w14:paraId="462395DF" w14:textId="77777777" w:rsidR="00D442D8" w:rsidRDefault="00C04E28">
      <w:pPr>
        <w:pStyle w:val="berschrift2"/>
      </w:pPr>
      <w:r>
        <w:t>2.2 Bauseitige Leistungen des Auftraggebers</w:t>
      </w:r>
    </w:p>
    <w:p w14:paraId="5E3974C3" w14:textId="77777777" w:rsidR="00D442D8" w:rsidRDefault="00C04E28">
      <w:pPr>
        <w:pStyle w:val="Aufzhlungszeichen"/>
        <w:spacing w:after="50"/>
      </w:pPr>
      <w:r>
        <w:t>Bereitstellung der Aufstellfläche sowie – nach verbindlichem Last-/Fundamentplan des Auftragnehmers – eines ausreichend tragfähigen Planums und der vereinbarten Fundamente innerhalb der vorgegebenen Toleranzen, sofern die Bedarfsposition Gründung nicht beauftragt wird.</w:t>
      </w:r>
    </w:p>
    <w:p w14:paraId="5D413421" w14:textId="77777777" w:rsidR="00D442D8" w:rsidRDefault="00C04E28">
      <w:pPr>
        <w:pStyle w:val="Aufzhlungszeichen"/>
        <w:spacing w:after="50"/>
      </w:pPr>
      <w:r>
        <w:t>Heranführung von Strom, Trinkwasser, Schmutzwasser, Regenwasser und Daten-/Kommunikationsinfrastruktur bis zu den abgestimmten Übergabepunkten, sofern nicht ausdrücklich anders beauftragt.</w:t>
      </w:r>
    </w:p>
    <w:p w14:paraId="2979C748" w14:textId="77777777" w:rsidR="00D442D8" w:rsidRDefault="00C04E28">
      <w:pPr>
        <w:pStyle w:val="Aufzhlungszeichen"/>
        <w:spacing w:after="50"/>
      </w:pPr>
      <w:r>
        <w:t>Bauherrenfunktion, Unterzeichnung/Einreichung des durch den Auftragnehmer erstellten Bauantrags und Zahlung behördlicher Gebühren; der Auftragnehmer liefert die vollständigen, fristgerechten Fachunterlagen seines Systems.</w:t>
      </w:r>
    </w:p>
    <w:p w14:paraId="3FDEE135" w14:textId="77777777" w:rsidR="00D442D8" w:rsidRDefault="00C04E28">
      <w:pPr>
        <w:pStyle w:val="Aufzhlungszeichen"/>
        <w:spacing w:after="50"/>
      </w:pPr>
      <w:r>
        <w:t>Freihaltung/Sperrung der abgestimmten Park-, Fahr-, Umlade- und Kranflächen sowie betriebliche Koordination auf dem Krankenhausgelände.</w:t>
      </w:r>
    </w:p>
    <w:p w14:paraId="6472961A" w14:textId="77777777" w:rsidR="00D442D8" w:rsidRDefault="00C04E28">
      <w:pPr>
        <w:pStyle w:val="Aufzhlungszeichen"/>
        <w:spacing w:after="50"/>
      </w:pPr>
      <w:r>
        <w:t>Baustrom und Bauwasser an einem maximal 10 m vom Baufeld entfernten Übergabepunkt, soweit im abgestimmten Montagekonzept erforderlich.</w:t>
      </w:r>
    </w:p>
    <w:p w14:paraId="1AF55A36" w14:textId="77777777" w:rsidR="00D442D8" w:rsidRDefault="00C04E28">
      <w:pPr>
        <w:pStyle w:val="Aufzhlungszeichen"/>
        <w:spacing w:after="50"/>
      </w:pPr>
      <w:r>
        <w:t>Endgeräte und aktive Komponenten der IT, Mobiliar, Büroausstattung, laufende Unterhaltsreinigung sowie regulärer Gebäudebetrieb nach der Abnahme, soweit nicht ausdrücklich im Leistungsverzeichnis enthalten.</w:t>
      </w:r>
    </w:p>
    <w:tbl>
      <w:tblPr>
        <w:tblW w:w="0" w:type="auto"/>
        <w:tblBorders>
          <w:top w:val="single" w:sz="0" w:space="0" w:color="FFF2CC"/>
          <w:left w:val="single" w:sz="0" w:space="0" w:color="FFF2CC"/>
          <w:bottom w:val="single" w:sz="0" w:space="0" w:color="FFF2CC"/>
          <w:right w:val="single" w:sz="0" w:space="0" w:color="FFF2CC"/>
          <w:insideH w:val="single" w:sz="0" w:space="0" w:color="FFF2CC"/>
          <w:insideV w:val="single" w:sz="0" w:space="0" w:color="FFF2CC"/>
        </w:tblBorders>
        <w:tblLayout w:type="fixed"/>
        <w:tblLook w:val="04A0" w:firstRow="1" w:lastRow="0" w:firstColumn="1" w:lastColumn="0" w:noHBand="0" w:noVBand="1"/>
      </w:tblPr>
      <w:tblGrid>
        <w:gridCol w:w="9468"/>
      </w:tblGrid>
      <w:tr w:rsidR="00D442D8" w14:paraId="7B4339FC" w14:textId="77777777">
        <w:tc>
          <w:tcPr>
            <w:tcW w:w="9468" w:type="dxa"/>
            <w:shd w:val="clear" w:color="auto" w:fill="FFF2CC"/>
            <w:tcMar>
              <w:top w:w="150" w:type="dxa"/>
              <w:left w:w="180" w:type="dxa"/>
              <w:bottom w:w="150" w:type="dxa"/>
              <w:right w:w="180" w:type="dxa"/>
            </w:tcMar>
          </w:tcPr>
          <w:p w14:paraId="51927945" w14:textId="77777777" w:rsidR="00D442D8" w:rsidRDefault="00C04E28">
            <w:proofErr w:type="gramStart"/>
            <w:r>
              <w:rPr>
                <w:b/>
                <w:color w:val="6B5200"/>
                <w:sz w:val="19"/>
              </w:rPr>
              <w:t xml:space="preserve">Schnittstellenregel  </w:t>
            </w:r>
            <w:r>
              <w:rPr>
                <w:color w:val="6B5200"/>
                <w:sz w:val="19"/>
              </w:rPr>
              <w:t>Der</w:t>
            </w:r>
            <w:proofErr w:type="gramEnd"/>
            <w:r>
              <w:rPr>
                <w:color w:val="6B5200"/>
                <w:sz w:val="19"/>
              </w:rPr>
              <w:t xml:space="preserve"> Auftragnehmer hat sämtliche Annahmen zu bauseitigen Leistungen mit dem Angebot in der Abweichungs-/Schnittstellenliste offenzulegen. Nicht aufgeführte, für sein System üblicherweise notwendige Nebenleistungen gelten als im Angebot enthalten.</w:t>
            </w:r>
          </w:p>
        </w:tc>
      </w:tr>
    </w:tbl>
    <w:p w14:paraId="5D14644B" w14:textId="77777777" w:rsidR="00D442D8" w:rsidRDefault="00D442D8">
      <w:pPr>
        <w:spacing w:after="0"/>
      </w:pPr>
    </w:p>
    <w:p w14:paraId="725872E0" w14:textId="77777777" w:rsidR="00D442D8" w:rsidRDefault="00C04E28">
      <w:pPr>
        <w:pStyle w:val="berschrift1"/>
      </w:pPr>
      <w:r>
        <w:t>3. Termine und Projektabwicklung</w:t>
      </w:r>
    </w:p>
    <w:tbl>
      <w:tblPr>
        <w:tblW w:w="10598" w:type="dxa"/>
        <w:tblBorders>
          <w:top w:val="single" w:sz="6" w:space="0" w:color="D7DDE1"/>
          <w:left w:val="single" w:sz="6" w:space="0" w:color="D7DDE1"/>
          <w:bottom w:val="single" w:sz="6" w:space="0" w:color="D7DDE1"/>
          <w:right w:val="single" w:sz="6" w:space="0" w:color="D7DDE1"/>
          <w:insideH w:val="single" w:sz="4" w:space="0" w:color="D7DDE1"/>
          <w:insideV w:val="single" w:sz="4" w:space="0" w:color="D7DDE1"/>
        </w:tblBorders>
        <w:tblLayout w:type="fixed"/>
        <w:tblLook w:val="04A0" w:firstRow="1" w:lastRow="0" w:firstColumn="1" w:lastColumn="0" w:noHBand="0" w:noVBand="1"/>
      </w:tblPr>
      <w:tblGrid>
        <w:gridCol w:w="4943"/>
        <w:gridCol w:w="5655"/>
      </w:tblGrid>
      <w:tr w:rsidR="00D442D8" w14:paraId="47B8D7DC" w14:textId="77777777">
        <w:trPr>
          <w:tblHeader/>
        </w:trPr>
        <w:tc>
          <w:tcPr>
            <w:tcW w:w="4943" w:type="dxa"/>
            <w:shd w:val="clear" w:color="auto" w:fill="18324A"/>
          </w:tcPr>
          <w:p w14:paraId="463BEF37" w14:textId="77777777" w:rsidR="00D442D8" w:rsidRDefault="00C04E28">
            <w:r>
              <w:rPr>
                <w:b/>
                <w:color w:val="FFFFFF"/>
                <w:sz w:val="18"/>
              </w:rPr>
              <w:t>Meilenstein</w:t>
            </w:r>
          </w:p>
        </w:tc>
        <w:tc>
          <w:tcPr>
            <w:tcW w:w="5655" w:type="dxa"/>
            <w:shd w:val="clear" w:color="auto" w:fill="18324A"/>
          </w:tcPr>
          <w:p w14:paraId="0454E3EE" w14:textId="77777777" w:rsidR="00D442D8" w:rsidRDefault="00C04E28">
            <w:r>
              <w:rPr>
                <w:b/>
                <w:color w:val="FFFFFF"/>
                <w:sz w:val="18"/>
              </w:rPr>
              <w:t>Mindestanforderung</w:t>
            </w:r>
          </w:p>
        </w:tc>
      </w:tr>
      <w:tr w:rsidR="00D442D8" w14:paraId="65951C32" w14:textId="77777777">
        <w:tc>
          <w:tcPr>
            <w:tcW w:w="4943" w:type="dxa"/>
            <w:tcMar>
              <w:top w:w="90" w:type="dxa"/>
              <w:left w:w="110" w:type="dxa"/>
              <w:bottom w:w="90" w:type="dxa"/>
              <w:right w:w="110" w:type="dxa"/>
            </w:tcMar>
            <w:vAlign w:val="center"/>
          </w:tcPr>
          <w:p w14:paraId="193DE7D1" w14:textId="77777777" w:rsidR="00D442D8" w:rsidRDefault="00C04E28">
            <w:r>
              <w:rPr>
                <w:b/>
                <w:color w:val="18324A"/>
                <w:sz w:val="18"/>
              </w:rPr>
              <w:t>Kick-off</w:t>
            </w:r>
          </w:p>
        </w:tc>
        <w:tc>
          <w:tcPr>
            <w:tcW w:w="5655" w:type="dxa"/>
            <w:tcMar>
              <w:top w:w="90" w:type="dxa"/>
              <w:left w:w="110" w:type="dxa"/>
              <w:bottom w:w="90" w:type="dxa"/>
              <w:right w:w="110" w:type="dxa"/>
            </w:tcMar>
            <w:vAlign w:val="center"/>
          </w:tcPr>
          <w:p w14:paraId="76F30F0B" w14:textId="77777777" w:rsidR="00D442D8" w:rsidRDefault="00C04E28">
            <w:r>
              <w:rPr>
                <w:sz w:val="18"/>
              </w:rPr>
              <w:t>Binnen 2 Arbeitstagen nach Zuschlag</w:t>
            </w:r>
          </w:p>
        </w:tc>
      </w:tr>
      <w:tr w:rsidR="00D442D8" w14:paraId="69028398" w14:textId="77777777">
        <w:tc>
          <w:tcPr>
            <w:tcW w:w="4943" w:type="dxa"/>
            <w:shd w:val="clear" w:color="auto" w:fill="F8F9FA"/>
            <w:tcMar>
              <w:top w:w="90" w:type="dxa"/>
              <w:left w:w="110" w:type="dxa"/>
              <w:bottom w:w="90" w:type="dxa"/>
              <w:right w:w="110" w:type="dxa"/>
            </w:tcMar>
            <w:vAlign w:val="center"/>
          </w:tcPr>
          <w:p w14:paraId="2467861A" w14:textId="77777777" w:rsidR="00D442D8" w:rsidRDefault="00C04E28">
            <w:r>
              <w:rPr>
                <w:b/>
                <w:color w:val="18324A"/>
                <w:sz w:val="18"/>
              </w:rPr>
              <w:t>Verbindlicher Detailterminplan</w:t>
            </w:r>
          </w:p>
        </w:tc>
        <w:tc>
          <w:tcPr>
            <w:tcW w:w="5655" w:type="dxa"/>
            <w:shd w:val="clear" w:color="auto" w:fill="F8F9FA"/>
            <w:tcMar>
              <w:top w:w="90" w:type="dxa"/>
              <w:left w:w="110" w:type="dxa"/>
              <w:bottom w:w="90" w:type="dxa"/>
              <w:right w:w="110" w:type="dxa"/>
            </w:tcMar>
            <w:vAlign w:val="center"/>
          </w:tcPr>
          <w:p w14:paraId="3290686A" w14:textId="77777777" w:rsidR="00D442D8" w:rsidRDefault="00C04E28">
            <w:r>
              <w:rPr>
                <w:sz w:val="18"/>
              </w:rPr>
              <w:t>Binnen 5 Arbeitstagen nach Zuschlag</w:t>
            </w:r>
          </w:p>
        </w:tc>
      </w:tr>
      <w:tr w:rsidR="00D442D8" w14:paraId="7AFF374F" w14:textId="77777777">
        <w:tc>
          <w:tcPr>
            <w:tcW w:w="4943" w:type="dxa"/>
            <w:tcMar>
              <w:top w:w="90" w:type="dxa"/>
              <w:left w:w="110" w:type="dxa"/>
              <w:bottom w:w="90" w:type="dxa"/>
              <w:right w:w="110" w:type="dxa"/>
            </w:tcMar>
            <w:vAlign w:val="center"/>
          </w:tcPr>
          <w:p w14:paraId="207F5D4D" w14:textId="77777777" w:rsidR="00D442D8" w:rsidRDefault="00C04E28">
            <w:r>
              <w:rPr>
                <w:b/>
                <w:color w:val="18324A"/>
                <w:sz w:val="18"/>
              </w:rPr>
              <w:t>Genehmigungs-/Bauantragsunterlagen des Systems</w:t>
            </w:r>
          </w:p>
        </w:tc>
        <w:tc>
          <w:tcPr>
            <w:tcW w:w="5655" w:type="dxa"/>
            <w:tcMar>
              <w:top w:w="90" w:type="dxa"/>
              <w:left w:w="110" w:type="dxa"/>
              <w:bottom w:w="90" w:type="dxa"/>
              <w:right w:w="110" w:type="dxa"/>
            </w:tcMar>
            <w:vAlign w:val="center"/>
          </w:tcPr>
          <w:p w14:paraId="512B08D8" w14:textId="77777777" w:rsidR="00D442D8" w:rsidRDefault="00C04E28">
            <w:r>
              <w:rPr>
                <w:sz w:val="18"/>
              </w:rPr>
              <w:t>Binnen 7 Arbeitstagen nach Zuschlag bzw. früher, wenn für den Endtermin erforderlich</w:t>
            </w:r>
          </w:p>
        </w:tc>
      </w:tr>
      <w:tr w:rsidR="00D442D8" w14:paraId="580AA343" w14:textId="77777777">
        <w:tc>
          <w:tcPr>
            <w:tcW w:w="4943" w:type="dxa"/>
            <w:shd w:val="clear" w:color="auto" w:fill="F8F9FA"/>
            <w:tcMar>
              <w:top w:w="90" w:type="dxa"/>
              <w:left w:w="110" w:type="dxa"/>
              <w:bottom w:w="90" w:type="dxa"/>
              <w:right w:w="110" w:type="dxa"/>
            </w:tcMar>
            <w:vAlign w:val="center"/>
          </w:tcPr>
          <w:p w14:paraId="2BF9C0AB" w14:textId="77777777" w:rsidR="00D442D8" w:rsidRDefault="00C04E28">
            <w:r>
              <w:rPr>
                <w:b/>
                <w:color w:val="18324A"/>
                <w:sz w:val="18"/>
              </w:rPr>
              <w:t>Last-/Fundament- und Medienplan</w:t>
            </w:r>
          </w:p>
        </w:tc>
        <w:tc>
          <w:tcPr>
            <w:tcW w:w="5655" w:type="dxa"/>
            <w:shd w:val="clear" w:color="auto" w:fill="F8F9FA"/>
            <w:tcMar>
              <w:top w:w="90" w:type="dxa"/>
              <w:left w:w="110" w:type="dxa"/>
              <w:bottom w:w="90" w:type="dxa"/>
              <w:right w:w="110" w:type="dxa"/>
            </w:tcMar>
            <w:vAlign w:val="center"/>
          </w:tcPr>
          <w:p w14:paraId="27613A69" w14:textId="77777777" w:rsidR="00D442D8" w:rsidRDefault="00C04E28">
            <w:r>
              <w:rPr>
                <w:sz w:val="18"/>
              </w:rPr>
              <w:t xml:space="preserve">Binnen 5 </w:t>
            </w:r>
            <w:r>
              <w:rPr>
                <w:sz w:val="18"/>
              </w:rPr>
              <w:t>Arbeitstagen nach Zuschlag</w:t>
            </w:r>
          </w:p>
        </w:tc>
      </w:tr>
      <w:tr w:rsidR="00D442D8" w14:paraId="568BA6BF" w14:textId="77777777">
        <w:tc>
          <w:tcPr>
            <w:tcW w:w="4943" w:type="dxa"/>
            <w:tcMar>
              <w:top w:w="90" w:type="dxa"/>
              <w:left w:w="110" w:type="dxa"/>
              <w:bottom w:w="90" w:type="dxa"/>
              <w:right w:w="110" w:type="dxa"/>
            </w:tcMar>
            <w:vAlign w:val="center"/>
          </w:tcPr>
          <w:p w14:paraId="2B26285E" w14:textId="77777777" w:rsidR="00D442D8" w:rsidRDefault="00C04E28">
            <w:r>
              <w:rPr>
                <w:b/>
                <w:color w:val="18324A"/>
                <w:sz w:val="18"/>
              </w:rPr>
              <w:t>Montage-/Logistik-/Krankonzept</w:t>
            </w:r>
          </w:p>
        </w:tc>
        <w:tc>
          <w:tcPr>
            <w:tcW w:w="5655" w:type="dxa"/>
            <w:tcMar>
              <w:top w:w="90" w:type="dxa"/>
              <w:left w:w="110" w:type="dxa"/>
              <w:bottom w:w="90" w:type="dxa"/>
              <w:right w:w="110" w:type="dxa"/>
            </w:tcMar>
            <w:vAlign w:val="center"/>
          </w:tcPr>
          <w:p w14:paraId="71E76E9E" w14:textId="77777777" w:rsidR="00D442D8" w:rsidRDefault="00C04E28">
            <w:r>
              <w:rPr>
                <w:sz w:val="18"/>
              </w:rPr>
              <w:t>Spätestens 10 Arbeitstage vor Anlieferung</w:t>
            </w:r>
          </w:p>
        </w:tc>
      </w:tr>
      <w:tr w:rsidR="00D442D8" w14:paraId="27715004" w14:textId="77777777">
        <w:tc>
          <w:tcPr>
            <w:tcW w:w="4943" w:type="dxa"/>
            <w:shd w:val="clear" w:color="auto" w:fill="F8F9FA"/>
            <w:tcMar>
              <w:top w:w="90" w:type="dxa"/>
              <w:left w:w="110" w:type="dxa"/>
              <w:bottom w:w="90" w:type="dxa"/>
              <w:right w:w="110" w:type="dxa"/>
            </w:tcMar>
            <w:vAlign w:val="center"/>
          </w:tcPr>
          <w:p w14:paraId="4688D743" w14:textId="77777777" w:rsidR="00D442D8" w:rsidRDefault="00C04E28">
            <w:r>
              <w:rPr>
                <w:b/>
                <w:color w:val="18324A"/>
                <w:sz w:val="18"/>
              </w:rPr>
              <w:t>Anlieferung/Montage</w:t>
            </w:r>
          </w:p>
        </w:tc>
        <w:tc>
          <w:tcPr>
            <w:tcW w:w="5655" w:type="dxa"/>
            <w:shd w:val="clear" w:color="auto" w:fill="F8F9FA"/>
            <w:tcMar>
              <w:top w:w="90" w:type="dxa"/>
              <w:left w:w="110" w:type="dxa"/>
              <w:bottom w:w="90" w:type="dxa"/>
              <w:right w:w="110" w:type="dxa"/>
            </w:tcMar>
            <w:vAlign w:val="center"/>
          </w:tcPr>
          <w:p w14:paraId="0AB6F212" w14:textId="77777777" w:rsidR="00D442D8" w:rsidRDefault="00C04E28">
            <w:r>
              <w:rPr>
                <w:sz w:val="18"/>
              </w:rPr>
              <w:t>Nach verbindlichem Terminplan; Zielkorridor KW 38/2026</w:t>
            </w:r>
          </w:p>
        </w:tc>
      </w:tr>
      <w:tr w:rsidR="00D442D8" w14:paraId="4532EBAE" w14:textId="77777777">
        <w:tc>
          <w:tcPr>
            <w:tcW w:w="4943" w:type="dxa"/>
            <w:tcMar>
              <w:top w:w="90" w:type="dxa"/>
              <w:left w:w="110" w:type="dxa"/>
              <w:bottom w:w="90" w:type="dxa"/>
              <w:right w:w="110" w:type="dxa"/>
            </w:tcMar>
            <w:vAlign w:val="center"/>
          </w:tcPr>
          <w:p w14:paraId="41177B20" w14:textId="77777777" w:rsidR="00D442D8" w:rsidRDefault="00C04E28">
            <w:r>
              <w:rPr>
                <w:b/>
                <w:color w:val="18324A"/>
                <w:sz w:val="18"/>
              </w:rPr>
              <w:lastRenderedPageBreak/>
              <w:t>Betriebsbereite, abnahmefähige Übergabe</w:t>
            </w:r>
          </w:p>
        </w:tc>
        <w:tc>
          <w:tcPr>
            <w:tcW w:w="5655" w:type="dxa"/>
            <w:tcMar>
              <w:top w:w="90" w:type="dxa"/>
              <w:left w:w="110" w:type="dxa"/>
              <w:bottom w:w="90" w:type="dxa"/>
              <w:right w:w="110" w:type="dxa"/>
            </w:tcMar>
            <w:vAlign w:val="center"/>
          </w:tcPr>
          <w:p w14:paraId="3CDB5404" w14:textId="77777777" w:rsidR="00D442D8" w:rsidRDefault="00C04E28">
            <w:r>
              <w:rPr>
                <w:sz w:val="18"/>
              </w:rPr>
              <w:t>Spätestens 15.10.2026</w:t>
            </w:r>
          </w:p>
        </w:tc>
      </w:tr>
    </w:tbl>
    <w:p w14:paraId="4D883DF7" w14:textId="77777777" w:rsidR="00D442D8" w:rsidRDefault="00C04E28">
      <w:r>
        <w:t xml:space="preserve">Der Angebotsterminplan muss den kritischen Pfad, </w:t>
      </w:r>
      <w:proofErr w:type="spellStart"/>
      <w:r>
        <w:t>Auftraggebermitwirkungen</w:t>
      </w:r>
      <w:proofErr w:type="spellEnd"/>
      <w:r>
        <w:t xml:space="preserve"> und Puffer erkennen lassen. Genehmigungsrisiken, die aus dem angebotenen System oder verspäteten Unterlagen des Auftragnehmers entstehen, gehen nicht zulasten des Auftraggebers.</w:t>
      </w:r>
    </w:p>
    <w:p w14:paraId="7EBDF8B4" w14:textId="77777777" w:rsidR="00D442D8" w:rsidRDefault="00C04E28">
      <w:pPr>
        <w:pStyle w:val="berschrift1"/>
      </w:pPr>
      <w:r>
        <w:t>4. Raumprogramm und Abmessungen</w:t>
      </w:r>
    </w:p>
    <w:tbl>
      <w:tblPr>
        <w:tblW w:w="10740" w:type="dxa"/>
        <w:tblBorders>
          <w:top w:val="single" w:sz="6" w:space="0" w:color="D7DDE1"/>
          <w:left w:val="single" w:sz="6" w:space="0" w:color="D7DDE1"/>
          <w:bottom w:val="single" w:sz="6" w:space="0" w:color="D7DDE1"/>
          <w:right w:val="single" w:sz="6" w:space="0" w:color="D7DDE1"/>
          <w:insideH w:val="single" w:sz="4" w:space="0" w:color="D7DDE1"/>
          <w:insideV w:val="single" w:sz="4" w:space="0" w:color="D7DDE1"/>
        </w:tblBorders>
        <w:tblLayout w:type="fixed"/>
        <w:tblLook w:val="04A0" w:firstRow="1" w:lastRow="0" w:firstColumn="1" w:lastColumn="0" w:noHBand="0" w:noVBand="1"/>
      </w:tblPr>
      <w:tblGrid>
        <w:gridCol w:w="4943"/>
        <w:gridCol w:w="5797"/>
      </w:tblGrid>
      <w:tr w:rsidR="00D442D8" w14:paraId="253856D0" w14:textId="77777777">
        <w:trPr>
          <w:tblHeader/>
        </w:trPr>
        <w:tc>
          <w:tcPr>
            <w:tcW w:w="4943" w:type="dxa"/>
            <w:shd w:val="clear" w:color="auto" w:fill="18324A"/>
          </w:tcPr>
          <w:p w14:paraId="58FB18A3" w14:textId="77777777" w:rsidR="00D442D8" w:rsidRDefault="00C04E28">
            <w:r>
              <w:rPr>
                <w:b/>
                <w:color w:val="FFFFFF"/>
                <w:sz w:val="18"/>
              </w:rPr>
              <w:t>Merkmal</w:t>
            </w:r>
          </w:p>
        </w:tc>
        <w:tc>
          <w:tcPr>
            <w:tcW w:w="5797" w:type="dxa"/>
            <w:shd w:val="clear" w:color="auto" w:fill="18324A"/>
          </w:tcPr>
          <w:p w14:paraId="33ECF9CF" w14:textId="77777777" w:rsidR="00D442D8" w:rsidRDefault="00C04E28">
            <w:r>
              <w:rPr>
                <w:b/>
                <w:color w:val="FFFFFF"/>
                <w:sz w:val="18"/>
              </w:rPr>
              <w:t>Mindestanforderung</w:t>
            </w:r>
          </w:p>
        </w:tc>
      </w:tr>
      <w:tr w:rsidR="00D442D8" w14:paraId="48344773" w14:textId="77777777">
        <w:tc>
          <w:tcPr>
            <w:tcW w:w="4943" w:type="dxa"/>
            <w:tcMar>
              <w:top w:w="90" w:type="dxa"/>
              <w:left w:w="110" w:type="dxa"/>
              <w:bottom w:w="90" w:type="dxa"/>
              <w:right w:w="110" w:type="dxa"/>
            </w:tcMar>
            <w:vAlign w:val="center"/>
          </w:tcPr>
          <w:p w14:paraId="7D673084" w14:textId="77777777" w:rsidR="00D442D8" w:rsidRDefault="00C04E28">
            <w:r>
              <w:rPr>
                <w:b/>
                <w:color w:val="18324A"/>
                <w:sz w:val="18"/>
              </w:rPr>
              <w:t>Gebäudekonzept</w:t>
            </w:r>
          </w:p>
        </w:tc>
        <w:tc>
          <w:tcPr>
            <w:tcW w:w="5797" w:type="dxa"/>
            <w:tcMar>
              <w:top w:w="90" w:type="dxa"/>
              <w:left w:w="110" w:type="dxa"/>
              <w:bottom w:w="90" w:type="dxa"/>
              <w:right w:w="110" w:type="dxa"/>
            </w:tcMar>
            <w:vAlign w:val="center"/>
          </w:tcPr>
          <w:p w14:paraId="7ABD38AD" w14:textId="77777777" w:rsidR="00D442D8" w:rsidRDefault="00C04E28">
            <w:r>
              <w:rPr>
                <w:sz w:val="18"/>
              </w:rPr>
              <w:t>Eingeschossige, zusammenhängende Modul-/Raumanlage mit zentralem Mittelflur und zwei gegenüberliegenden Ausgängen.</w:t>
            </w:r>
          </w:p>
        </w:tc>
      </w:tr>
      <w:tr w:rsidR="00D442D8" w14:paraId="72AC2D3B" w14:textId="77777777">
        <w:tc>
          <w:tcPr>
            <w:tcW w:w="4943" w:type="dxa"/>
            <w:shd w:val="clear" w:color="auto" w:fill="F8F9FA"/>
            <w:tcMar>
              <w:top w:w="90" w:type="dxa"/>
              <w:left w:w="110" w:type="dxa"/>
              <w:bottom w:w="90" w:type="dxa"/>
              <w:right w:w="110" w:type="dxa"/>
            </w:tcMar>
            <w:vAlign w:val="center"/>
          </w:tcPr>
          <w:p w14:paraId="18A5D155" w14:textId="77777777" w:rsidR="00D442D8" w:rsidRDefault="00C04E28">
            <w:r>
              <w:rPr>
                <w:b/>
                <w:color w:val="18324A"/>
                <w:sz w:val="18"/>
              </w:rPr>
              <w:t>Orientierungsmaß</w:t>
            </w:r>
          </w:p>
        </w:tc>
        <w:tc>
          <w:tcPr>
            <w:tcW w:w="5797" w:type="dxa"/>
            <w:shd w:val="clear" w:color="auto" w:fill="F8F9FA"/>
            <w:tcMar>
              <w:top w:w="90" w:type="dxa"/>
              <w:left w:w="110" w:type="dxa"/>
              <w:bottom w:w="90" w:type="dxa"/>
              <w:right w:w="110" w:type="dxa"/>
            </w:tcMar>
            <w:vAlign w:val="center"/>
          </w:tcPr>
          <w:p w14:paraId="2C5C7974" w14:textId="77777777" w:rsidR="00D442D8" w:rsidRDefault="00C04E28">
            <w:r>
              <w:rPr>
                <w:sz w:val="18"/>
              </w:rPr>
              <w:t xml:space="preserve">Ca. 21,00 m × 12,08 m; </w:t>
            </w:r>
            <w:r>
              <w:rPr>
                <w:sz w:val="18"/>
              </w:rPr>
              <w:t>Bruttogrundfläche ca. 254 m². Maximal zulässige Aufstellkontur grundsätzlich 21,50 m × 12,50 m, vorbehaltlich bauseitiger Freigabe.</w:t>
            </w:r>
          </w:p>
        </w:tc>
      </w:tr>
      <w:tr w:rsidR="00D442D8" w14:paraId="17C79E5E" w14:textId="77777777">
        <w:tc>
          <w:tcPr>
            <w:tcW w:w="4943" w:type="dxa"/>
            <w:tcMar>
              <w:top w:w="90" w:type="dxa"/>
              <w:left w:w="110" w:type="dxa"/>
              <w:bottom w:w="90" w:type="dxa"/>
              <w:right w:w="110" w:type="dxa"/>
            </w:tcMar>
            <w:vAlign w:val="center"/>
          </w:tcPr>
          <w:p w14:paraId="52502552" w14:textId="77777777" w:rsidR="00D442D8" w:rsidRDefault="00C04E28">
            <w:r>
              <w:rPr>
                <w:b/>
                <w:color w:val="18324A"/>
                <w:sz w:val="18"/>
              </w:rPr>
              <w:t>Lichte Raumhöhe</w:t>
            </w:r>
          </w:p>
        </w:tc>
        <w:tc>
          <w:tcPr>
            <w:tcW w:w="5797" w:type="dxa"/>
            <w:tcMar>
              <w:top w:w="90" w:type="dxa"/>
              <w:left w:w="110" w:type="dxa"/>
              <w:bottom w:w="90" w:type="dxa"/>
              <w:right w:w="110" w:type="dxa"/>
            </w:tcMar>
            <w:vAlign w:val="center"/>
          </w:tcPr>
          <w:p w14:paraId="67B4A26A" w14:textId="77777777" w:rsidR="00D442D8" w:rsidRDefault="00C04E28">
            <w:r>
              <w:rPr>
                <w:sz w:val="18"/>
              </w:rPr>
              <w:t xml:space="preserve">Mindestens 2,75 m in Büroräumen und Flur; lokale technisch notwendige Unterschreitungen nur </w:t>
            </w:r>
            <w:r>
              <w:rPr>
                <w:sz w:val="18"/>
              </w:rPr>
              <w:t>außerhalb der Hauptnutzflächen und nach Freigabe.</w:t>
            </w:r>
          </w:p>
        </w:tc>
      </w:tr>
      <w:tr w:rsidR="00D442D8" w14:paraId="32C93909" w14:textId="77777777">
        <w:tc>
          <w:tcPr>
            <w:tcW w:w="4943" w:type="dxa"/>
            <w:shd w:val="clear" w:color="auto" w:fill="F8F9FA"/>
            <w:tcMar>
              <w:top w:w="90" w:type="dxa"/>
              <w:left w:w="110" w:type="dxa"/>
              <w:bottom w:w="90" w:type="dxa"/>
              <w:right w:w="110" w:type="dxa"/>
            </w:tcMar>
            <w:vAlign w:val="center"/>
          </w:tcPr>
          <w:p w14:paraId="6013382A" w14:textId="77777777" w:rsidR="00D442D8" w:rsidRDefault="00C04E28">
            <w:r>
              <w:rPr>
                <w:b/>
                <w:color w:val="18324A"/>
                <w:sz w:val="18"/>
              </w:rPr>
              <w:t>Büroräume</w:t>
            </w:r>
          </w:p>
        </w:tc>
        <w:tc>
          <w:tcPr>
            <w:tcW w:w="5797" w:type="dxa"/>
            <w:shd w:val="clear" w:color="auto" w:fill="F8F9FA"/>
            <w:tcMar>
              <w:top w:w="90" w:type="dxa"/>
              <w:left w:w="110" w:type="dxa"/>
              <w:bottom w:w="90" w:type="dxa"/>
              <w:right w:w="110" w:type="dxa"/>
            </w:tcMar>
            <w:vAlign w:val="center"/>
          </w:tcPr>
          <w:p w14:paraId="5C5E900D" w14:textId="77777777" w:rsidR="00D442D8" w:rsidRDefault="00C04E28">
            <w:r>
              <w:rPr>
                <w:sz w:val="18"/>
              </w:rPr>
              <w:t xml:space="preserve">Elf abschließbare, natürlich belichtete und </w:t>
            </w:r>
            <w:proofErr w:type="spellStart"/>
            <w:r>
              <w:rPr>
                <w:sz w:val="18"/>
              </w:rPr>
              <w:t>belüftbare</w:t>
            </w:r>
            <w:proofErr w:type="spellEnd"/>
            <w:r>
              <w:rPr>
                <w:sz w:val="18"/>
              </w:rPr>
              <w:t xml:space="preserve"> Büroräume; davon zwei größere Team-/Mehrpersonenräume entsprechend dem schematischen Grundriss und neun weitere Büroräume.</w:t>
            </w:r>
          </w:p>
        </w:tc>
      </w:tr>
      <w:tr w:rsidR="00D442D8" w14:paraId="2262578A" w14:textId="77777777">
        <w:tc>
          <w:tcPr>
            <w:tcW w:w="4943" w:type="dxa"/>
            <w:tcMar>
              <w:top w:w="90" w:type="dxa"/>
              <w:left w:w="110" w:type="dxa"/>
              <w:bottom w:w="90" w:type="dxa"/>
              <w:right w:w="110" w:type="dxa"/>
            </w:tcMar>
            <w:vAlign w:val="center"/>
          </w:tcPr>
          <w:p w14:paraId="6C9DE0D7" w14:textId="77777777" w:rsidR="00D442D8" w:rsidRDefault="00C04E28">
            <w:r>
              <w:rPr>
                <w:b/>
                <w:color w:val="18324A"/>
                <w:sz w:val="18"/>
              </w:rPr>
              <w:t>Flur</w:t>
            </w:r>
          </w:p>
        </w:tc>
        <w:tc>
          <w:tcPr>
            <w:tcW w:w="5797" w:type="dxa"/>
            <w:tcMar>
              <w:top w:w="90" w:type="dxa"/>
              <w:left w:w="110" w:type="dxa"/>
              <w:bottom w:w="90" w:type="dxa"/>
              <w:right w:w="110" w:type="dxa"/>
            </w:tcMar>
            <w:vAlign w:val="center"/>
          </w:tcPr>
          <w:p w14:paraId="7FC77862" w14:textId="77777777" w:rsidR="00D442D8" w:rsidRDefault="00C04E28">
            <w:r>
              <w:rPr>
                <w:sz w:val="18"/>
              </w:rPr>
              <w:t>Durchgängiger, ausreichend breiter Rettungs- und Erschließungsflur; lichte Breite und Fluchtweglänge nach Genehmigung/Arbeitsstättenrecht.</w:t>
            </w:r>
          </w:p>
        </w:tc>
      </w:tr>
      <w:tr w:rsidR="00D442D8" w14:paraId="43DBC718" w14:textId="77777777">
        <w:tc>
          <w:tcPr>
            <w:tcW w:w="4943" w:type="dxa"/>
            <w:shd w:val="clear" w:color="auto" w:fill="F8F9FA"/>
            <w:tcMar>
              <w:top w:w="90" w:type="dxa"/>
              <w:left w:w="110" w:type="dxa"/>
              <w:bottom w:w="90" w:type="dxa"/>
              <w:right w:w="110" w:type="dxa"/>
            </w:tcMar>
            <w:vAlign w:val="center"/>
          </w:tcPr>
          <w:p w14:paraId="31C5206D" w14:textId="77777777" w:rsidR="00D442D8" w:rsidRDefault="00C04E28">
            <w:r>
              <w:rPr>
                <w:b/>
                <w:color w:val="18324A"/>
                <w:sz w:val="18"/>
              </w:rPr>
              <w:t>Sanitär</w:t>
            </w:r>
          </w:p>
        </w:tc>
        <w:tc>
          <w:tcPr>
            <w:tcW w:w="5797" w:type="dxa"/>
            <w:shd w:val="clear" w:color="auto" w:fill="F8F9FA"/>
            <w:tcMar>
              <w:top w:w="90" w:type="dxa"/>
              <w:left w:w="110" w:type="dxa"/>
              <w:bottom w:w="90" w:type="dxa"/>
              <w:right w:w="110" w:type="dxa"/>
            </w:tcMar>
            <w:vAlign w:val="center"/>
          </w:tcPr>
          <w:p w14:paraId="7279C086" w14:textId="77777777" w:rsidR="00D442D8" w:rsidRDefault="00C04E28">
            <w:r>
              <w:rPr>
                <w:sz w:val="18"/>
              </w:rPr>
              <w:t xml:space="preserve">Getrennte Sanitärbereiche mit mindestens 2 WC, 1 Urinal und 2 Handwaschbecken; abschließbare Türen, </w:t>
            </w:r>
            <w:r>
              <w:rPr>
                <w:sz w:val="18"/>
              </w:rPr>
              <w:t>Sichtschutz und vollständige Ausstattung.</w:t>
            </w:r>
          </w:p>
        </w:tc>
      </w:tr>
      <w:tr w:rsidR="00D442D8" w14:paraId="057BB89A" w14:textId="77777777">
        <w:tc>
          <w:tcPr>
            <w:tcW w:w="4943" w:type="dxa"/>
            <w:tcMar>
              <w:top w:w="90" w:type="dxa"/>
              <w:left w:w="110" w:type="dxa"/>
              <w:bottom w:w="90" w:type="dxa"/>
              <w:right w:w="110" w:type="dxa"/>
            </w:tcMar>
            <w:vAlign w:val="center"/>
          </w:tcPr>
          <w:p w14:paraId="6171CBA4" w14:textId="77777777" w:rsidR="00D442D8" w:rsidRDefault="00C04E28">
            <w:r>
              <w:rPr>
                <w:b/>
                <w:color w:val="18324A"/>
                <w:sz w:val="18"/>
              </w:rPr>
              <w:t>Teeküche</w:t>
            </w:r>
          </w:p>
        </w:tc>
        <w:tc>
          <w:tcPr>
            <w:tcW w:w="5797" w:type="dxa"/>
            <w:tcMar>
              <w:top w:w="90" w:type="dxa"/>
              <w:left w:w="110" w:type="dxa"/>
              <w:bottom w:w="90" w:type="dxa"/>
              <w:right w:w="110" w:type="dxa"/>
            </w:tcMar>
            <w:vAlign w:val="center"/>
          </w:tcPr>
          <w:p w14:paraId="659E504E" w14:textId="77777777" w:rsidR="00D442D8" w:rsidRDefault="00C04E28">
            <w:r>
              <w:rPr>
                <w:sz w:val="18"/>
              </w:rPr>
              <w:t>Ein Küchen-/Aufenthaltsbereich mit betriebsfertiger Küchenzeile.</w:t>
            </w:r>
          </w:p>
        </w:tc>
      </w:tr>
      <w:tr w:rsidR="00D442D8" w14:paraId="6C2898E0" w14:textId="77777777">
        <w:tc>
          <w:tcPr>
            <w:tcW w:w="4943" w:type="dxa"/>
            <w:shd w:val="clear" w:color="auto" w:fill="F8F9FA"/>
            <w:tcMar>
              <w:top w:w="90" w:type="dxa"/>
              <w:left w:w="110" w:type="dxa"/>
              <w:bottom w:w="90" w:type="dxa"/>
              <w:right w:w="110" w:type="dxa"/>
            </w:tcMar>
            <w:vAlign w:val="center"/>
          </w:tcPr>
          <w:p w14:paraId="76658D83" w14:textId="77777777" w:rsidR="00D442D8" w:rsidRDefault="00C04E28">
            <w:r>
              <w:rPr>
                <w:b/>
                <w:color w:val="18324A"/>
                <w:sz w:val="18"/>
              </w:rPr>
              <w:t>Ausgänge</w:t>
            </w:r>
          </w:p>
        </w:tc>
        <w:tc>
          <w:tcPr>
            <w:tcW w:w="5797" w:type="dxa"/>
            <w:shd w:val="clear" w:color="auto" w:fill="F8F9FA"/>
            <w:tcMar>
              <w:top w:w="90" w:type="dxa"/>
              <w:left w:w="110" w:type="dxa"/>
              <w:bottom w:w="90" w:type="dxa"/>
              <w:right w:w="110" w:type="dxa"/>
            </w:tcMar>
            <w:vAlign w:val="center"/>
          </w:tcPr>
          <w:p w14:paraId="30F2C2D1" w14:textId="77777777" w:rsidR="00D442D8" w:rsidRDefault="00C04E28">
            <w:r>
              <w:rPr>
                <w:sz w:val="18"/>
              </w:rPr>
              <w:t>Zwei einflügelige Außentüren an den Flurenden, lichte Durchgangsbreite jeweils mindestens 1,05 m.</w:t>
            </w:r>
          </w:p>
        </w:tc>
      </w:tr>
    </w:tbl>
    <w:p w14:paraId="6C7DB81E" w14:textId="77777777" w:rsidR="00D442D8" w:rsidRDefault="00C04E28">
      <w:r>
        <w:t xml:space="preserve">Der Bieter legt mit dem </w:t>
      </w:r>
      <w:r>
        <w:t>Angebot einen bemaßten Angebotsgrundriss vor. Abweichungen vom Modulraster der Anlage sind zulässig, soweit das Raumprogramm, die Flächenqualität, sämtliche Flucht-/Arbeitsstättenanforderungen und die Aufstellkontur eingehalten werden. Flächenverluste gegenüber der Referenzplanung von mehr als 3 % bedürfen einer ausdrücklichen Freigabe.</w:t>
      </w:r>
    </w:p>
    <w:p w14:paraId="2E0D42B9" w14:textId="77777777" w:rsidR="00D442D8" w:rsidRDefault="00C04E28">
      <w:pPr>
        <w:pStyle w:val="berschrift1"/>
      </w:pPr>
      <w:r>
        <w:t>5. Planung, Genehmigung und Nachweise</w:t>
      </w:r>
    </w:p>
    <w:p w14:paraId="4DC5755E" w14:textId="77777777" w:rsidR="00D442D8" w:rsidRDefault="00C04E28">
      <w:pPr>
        <w:pStyle w:val="Aufzhlungszeichen"/>
        <w:spacing w:after="50"/>
      </w:pPr>
      <w:r>
        <w:t>Grundrisse, Schnitte, Ansichten und Detailplanung in für Bauantrag und Ausführung geeigneter Qualität, grundsätzlich mindestens M 1:100 bzw. in geeigneten Detailmaßstäben.</w:t>
      </w:r>
    </w:p>
    <w:p w14:paraId="2B347FE6" w14:textId="77777777" w:rsidR="00D442D8" w:rsidRDefault="00C04E28">
      <w:pPr>
        <w:pStyle w:val="Aufzhlungszeichen"/>
        <w:spacing w:after="50"/>
      </w:pPr>
      <w:r>
        <w:t>Prüffähige Typen-/Systemstatik und standortbezogene Nachweise für Wind, Schnee, Eigen-/Nutzlasten, Verankerung und Standsicherheit; Lastenplan für Gründung und Kran-/Montagezustände.</w:t>
      </w:r>
    </w:p>
    <w:p w14:paraId="181B71D9" w14:textId="77777777" w:rsidR="00D442D8" w:rsidRDefault="00C04E28">
      <w:pPr>
        <w:pStyle w:val="Aufzhlungszeichen"/>
        <w:spacing w:after="50"/>
      </w:pPr>
      <w:r>
        <w:t>Fundament-, Entwässerungs- und Medienübergabeplan mit Abmessungen, Höhen, Lasten, Toleranzen und Anschlusswerten.</w:t>
      </w:r>
    </w:p>
    <w:p w14:paraId="6FEB5CC2" w14:textId="77777777" w:rsidR="00D442D8" w:rsidRDefault="00C04E28">
      <w:pPr>
        <w:pStyle w:val="Aufzhlungszeichen"/>
        <w:spacing w:after="50"/>
      </w:pPr>
      <w:r>
        <w:lastRenderedPageBreak/>
        <w:t>Nachweis der Einhaltung des zum Genehmigungszeitpunkt geltenden Gebäudeenergiegesetzes (bzw. sofern zum relevanten Zeitpunkt bereits in Kraft das Gebäudemodernisierungsgesetz) und der einschlägigen öffentlich-rechtlichen Anforderungen für eine dauerhafte Nutzung; eine nur für kurzfristige Standzeiten zugelassene Ausführung ist nicht ausreichend.</w:t>
      </w:r>
    </w:p>
    <w:p w14:paraId="335270E5" w14:textId="77777777" w:rsidR="00D442D8" w:rsidRDefault="00C04E28">
      <w:pPr>
        <w:pStyle w:val="Aufzhlungszeichen"/>
        <w:spacing w:after="50"/>
      </w:pPr>
      <w:r>
        <w:t>Zuarbeit zum Brandschutzkonzept einschließlich Baustoffklassen, Brandverhalten, Fluchtwegen, Türen, Abschottungen, Rauchwarn-/Brandmeldekomponenten, Sicherheitsbeleuchtung und Löschmitteln.</w:t>
      </w:r>
    </w:p>
    <w:p w14:paraId="7CC1C2C0" w14:textId="77777777" w:rsidR="00D442D8" w:rsidRDefault="00C04E28">
      <w:pPr>
        <w:pStyle w:val="Aufzhlungszeichen"/>
        <w:spacing w:after="50"/>
      </w:pPr>
      <w:r>
        <w:t>Koordination und Nachweise zu Arbeitsschutz, Barrierefreiheit, Schallschutz/Raumakustik, Trinkwasserhygiene, Elektro-, Kälte- und Sanitärtechnik.</w:t>
      </w:r>
    </w:p>
    <w:p w14:paraId="30593D7B" w14:textId="77777777" w:rsidR="00D442D8" w:rsidRDefault="00C04E28">
      <w:pPr>
        <w:pStyle w:val="Aufzhlungszeichen"/>
        <w:spacing w:after="50"/>
      </w:pPr>
      <w:r>
        <w:t>Alle Nachweise und Bedienunterlagen in deutscher Sprache; Planstände revisionssicher mit Datum, Index und Freigabestatus.</w:t>
      </w:r>
    </w:p>
    <w:p w14:paraId="6A9869BA" w14:textId="77777777" w:rsidR="00D442D8" w:rsidRDefault="00C04E28">
      <w:pPr>
        <w:pStyle w:val="berschrift1"/>
      </w:pPr>
      <w:r>
        <w:t>6. Baukonstruktion</w:t>
      </w:r>
    </w:p>
    <w:p w14:paraId="741D00CC" w14:textId="77777777" w:rsidR="00D442D8" w:rsidRDefault="00C04E28">
      <w:pPr>
        <w:pStyle w:val="berschrift2"/>
      </w:pPr>
      <w:r>
        <w:t>6.1 Tragwerk, Gründung und Lasten</w:t>
      </w:r>
    </w:p>
    <w:p w14:paraId="17B49875" w14:textId="77777777" w:rsidR="00D442D8" w:rsidRDefault="00C04E28">
      <w:pPr>
        <w:pStyle w:val="Aufzhlungszeichen"/>
        <w:spacing w:after="50"/>
      </w:pPr>
      <w:r>
        <w:t>Robustes, transport- und montagegeeignetes modulares Tragwerk mit dauerhaftem Korrosionsschutz und für eine dauerhafte Gebäudenutzung nachgewiesener Standsicherheit; geplante technische Nutzungsdauer des Primärtragwerks mindestens 30 Jahre bei ordnungsgemäßer Wartung.</w:t>
      </w:r>
    </w:p>
    <w:p w14:paraId="06498E35" w14:textId="77777777" w:rsidR="00D442D8" w:rsidRDefault="00C04E28">
      <w:pPr>
        <w:pStyle w:val="Aufzhlungszeichen"/>
        <w:spacing w:after="50"/>
      </w:pPr>
      <w:r>
        <w:t xml:space="preserve">Verkehrslast der Bürofußböden mindestens 3,0 kN/m² oder höher, </w:t>
      </w:r>
      <w:r>
        <w:t>soweit Nutzung/Normung dies verlangt. Punkt- und Montagelasten sind zu berücksichtigen.</w:t>
      </w:r>
    </w:p>
    <w:p w14:paraId="4EE14897" w14:textId="77777777" w:rsidR="00D442D8" w:rsidRDefault="00C04E28">
      <w:pPr>
        <w:pStyle w:val="Aufzhlungszeichen"/>
        <w:spacing w:after="50"/>
      </w:pPr>
      <w:r>
        <w:t>Standortbezogene Wind- und Schneelasten nach den einschlägigen Eurocodes in aktueller Fassung; die im Angebot angesetzten Werte sind offenzulegen.</w:t>
      </w:r>
    </w:p>
    <w:p w14:paraId="33AAB1AE" w14:textId="77777777" w:rsidR="00D442D8" w:rsidRDefault="00C04E28">
      <w:pPr>
        <w:pStyle w:val="Aufzhlungszeichen"/>
        <w:spacing w:after="50"/>
      </w:pPr>
      <w:r>
        <w:t>Feinausgleich und kraftschlüssige Aufstellung auf den bauseitigen Fundamenten; zulässige Maß-/Höhentoleranzen sind im Fundamentplan verbindlich anzugeben.</w:t>
      </w:r>
    </w:p>
    <w:p w14:paraId="366F3E79" w14:textId="77777777" w:rsidR="00D442D8" w:rsidRDefault="00C04E28">
      <w:pPr>
        <w:pStyle w:val="berschrift2"/>
      </w:pPr>
      <w:r>
        <w:t>6.2 Wärme-, Feuchte- und Wetterschutz</w:t>
      </w:r>
    </w:p>
    <w:p w14:paraId="64BC6EC3" w14:textId="77777777" w:rsidR="00D442D8" w:rsidRDefault="00C04E28">
      <w:pPr>
        <w:pStyle w:val="Aufzhlungszeichen"/>
        <w:spacing w:after="50"/>
      </w:pPr>
      <w:r>
        <w:t>Wärmebrückenarme, luft- und schlagregendichte Gebäudehülle; dauerhaft dichte Modulstöße und Anschlüsse.</w:t>
      </w:r>
    </w:p>
    <w:p w14:paraId="2BF221A2" w14:textId="77777777" w:rsidR="00D442D8" w:rsidRDefault="00C04E28">
      <w:pPr>
        <w:pStyle w:val="Aufzhlungszeichen"/>
        <w:spacing w:after="50"/>
      </w:pPr>
      <w:r>
        <w:t xml:space="preserve">Orientierungswerte: U-Wert Boden und Dach jeweils höchstens 0,30 W/(m²K), opake Außenwand höchstens 0,40 W/(m²K), Fensterverglasung </w:t>
      </w:r>
      <w:proofErr w:type="spellStart"/>
      <w:r>
        <w:t>Ug</w:t>
      </w:r>
      <w:proofErr w:type="spellEnd"/>
      <w:r>
        <w:t xml:space="preserve"> höchstens 1,1 W/(m²K); maßgeblich bleibt der vollständige GEG-Nachweis (bzw. Nachweis nach </w:t>
      </w:r>
      <w:proofErr w:type="spellStart"/>
      <w:r>
        <w:t>GModG</w:t>
      </w:r>
      <w:proofErr w:type="spellEnd"/>
      <w:r>
        <w:t>) des angebotenen Systems.</w:t>
      </w:r>
    </w:p>
    <w:p w14:paraId="030101D2" w14:textId="77777777" w:rsidR="00D442D8" w:rsidRDefault="00C04E28">
      <w:pPr>
        <w:pStyle w:val="Aufzhlungszeichen"/>
        <w:spacing w:after="50"/>
      </w:pPr>
      <w:r>
        <w:t xml:space="preserve">Gedämmtes, statisch bemessenes Zusatz-/Wetterschutzdach über der gesamten Anlage, ca. 255 m², als geneigtes Dach mit kontrollierter Entwässerung, </w:t>
      </w:r>
      <w:proofErr w:type="spellStart"/>
      <w:r>
        <w:t>Antikondensschutz</w:t>
      </w:r>
      <w:proofErr w:type="spellEnd"/>
      <w:r>
        <w:t>, Rinnen und Fallrohren mindestens DN 100 oder gleichwertig.</w:t>
      </w:r>
    </w:p>
    <w:p w14:paraId="58AF9115" w14:textId="77777777" w:rsidR="00D442D8" w:rsidRDefault="00C04E28">
      <w:pPr>
        <w:pStyle w:val="Aufzhlungszeichen"/>
        <w:spacing w:after="50"/>
      </w:pPr>
      <w:r>
        <w:t>Korrosionsbeständige Außenoberflächen in einem zurückhaltenden Grau-/Weißfarbton; zusammengehörige Module müssen ein einheitliches Erscheinungsbild aufweisen.</w:t>
      </w:r>
    </w:p>
    <w:p w14:paraId="625DAA85" w14:textId="77777777" w:rsidR="00D442D8" w:rsidRDefault="00C04E28">
      <w:pPr>
        <w:pStyle w:val="berschrift2"/>
      </w:pPr>
      <w:r>
        <w:t>6.3 Innenausbau, Boden und Akustik</w:t>
      </w:r>
    </w:p>
    <w:p w14:paraId="3E63A3A2" w14:textId="77777777" w:rsidR="00D442D8" w:rsidRDefault="00C04E28">
      <w:pPr>
        <w:pStyle w:val="Aufzhlungszeichen"/>
        <w:spacing w:after="50"/>
      </w:pPr>
      <w:r>
        <w:t>Innenoberflächen hell, emissionsarm, robust, leicht zu reinigen und für die Büronutzung geeignet. Beschädigte, verfärbte oder geruchsbelastete Oberflächen sind unzulässig.</w:t>
      </w:r>
    </w:p>
    <w:p w14:paraId="0F89463C" w14:textId="77777777" w:rsidR="00D442D8" w:rsidRDefault="00C04E28">
      <w:pPr>
        <w:pStyle w:val="Aufzhlungszeichen"/>
        <w:spacing w:after="50"/>
      </w:pPr>
      <w:r>
        <w:t xml:space="preserve">Vollflächig verlegter, </w:t>
      </w:r>
      <w:proofErr w:type="spellStart"/>
      <w:r>
        <w:t>fugenarm</w:t>
      </w:r>
      <w:proofErr w:type="spellEnd"/>
      <w:r>
        <w:t xml:space="preserve"> ausgebildeter elastischer Bodenbelag mit Nutzungsklasse mindestens 43 nach DIN EN ISO 10874 oder gleichwertig, Rutschhemmung mindestens R9, antistatisch, PUR-vergütet oder gleichwertig und für sensible Innenräume emissionsarm.</w:t>
      </w:r>
    </w:p>
    <w:p w14:paraId="2058311C" w14:textId="77777777" w:rsidR="00D442D8" w:rsidRDefault="00C04E28">
      <w:pPr>
        <w:pStyle w:val="Aufzhlungszeichen"/>
        <w:spacing w:after="50"/>
      </w:pPr>
      <w:r>
        <w:t>Schwellen und Modulstöße stolperfrei abgedeckt. Übergänge dürfen die zulässigen Schwellenhöhen der barrierearmen Erschließung nicht überschreiten.</w:t>
      </w:r>
    </w:p>
    <w:p w14:paraId="7260B352" w14:textId="77777777" w:rsidR="00D442D8" w:rsidRDefault="00C04E28">
      <w:pPr>
        <w:pStyle w:val="Aufzhlungszeichen"/>
        <w:spacing w:after="50"/>
      </w:pPr>
      <w:r>
        <w:t>Raumakustische Maßnahmen in allen Büroräumen und erforderlichen Flurbereichen so, dass ASR A3.7 und die nutzungsbezogenen Anforderungen eingehalten werden. Nur dekorative Akustikplatten ohne rechnerischen/technischen Nachweis genügen nicht.</w:t>
      </w:r>
    </w:p>
    <w:p w14:paraId="02CC3AD1" w14:textId="77777777" w:rsidR="00D442D8" w:rsidRDefault="00C04E28">
      <w:pPr>
        <w:pStyle w:val="Aufzhlungszeichen"/>
        <w:spacing w:after="50"/>
      </w:pPr>
      <w:r>
        <w:t xml:space="preserve">Neue oder fachgerecht werksüberholte gebrauchte Module sind zulässig. Bei gebrauchten Modulen sind Baujahr, bisherige Nutzung, Instandsetzung, Korrosions-/Feuchtezustand und verbleibende technische </w:t>
      </w:r>
      <w:r>
        <w:lastRenderedPageBreak/>
        <w:t>Nutzungsdauer je Einheit offenzulegen. Gefordert sind technisch einwandfreie, vollständig gereinigte, hygienisch unbedenkliche, optisch zusammengehörige und frei von substantiellen Gebrauchsschäden befindliche Einheiten; die bestätigte Restnutzungsdauer des Primärtragwerks muss mindestens 20 Jahre betragen.</w:t>
      </w:r>
    </w:p>
    <w:p w14:paraId="6FF9184C" w14:textId="77777777" w:rsidR="00D442D8" w:rsidRDefault="00C04E28">
      <w:pPr>
        <w:pStyle w:val="berschrift1"/>
      </w:pPr>
      <w:r>
        <w:t>7. Türen, Fenster und Sonnenschutz</w:t>
      </w:r>
    </w:p>
    <w:p w14:paraId="42261A8A" w14:textId="77777777" w:rsidR="00D442D8" w:rsidRDefault="00C04E28">
      <w:pPr>
        <w:pStyle w:val="Aufzhlungszeichen"/>
        <w:spacing w:after="50"/>
      </w:pPr>
      <w:r>
        <w:t xml:space="preserve">Zwei wärmegedämmte, verglaste Aluminium- oder gleichwertige Außentüren; lichte Breite mindestens 1,05 m, </w:t>
      </w:r>
      <w:proofErr w:type="spellStart"/>
      <w:r>
        <w:t>Obentürschließer</w:t>
      </w:r>
      <w:proofErr w:type="spellEnd"/>
      <w:r>
        <w:t>, Panikfunktion nach DIN EN 179 bzw. nach Brandschutzkonzept, Profilzylinder mit mindestens drei Schlüsseln, vorbereiteter E-Öffner mit Tagesentriegelung.</w:t>
      </w:r>
    </w:p>
    <w:p w14:paraId="4AD50583" w14:textId="77777777" w:rsidR="00D442D8" w:rsidRDefault="00C04E28">
      <w:pPr>
        <w:pStyle w:val="Aufzhlungszeichen"/>
        <w:spacing w:after="50"/>
      </w:pPr>
      <w:r>
        <w:t>Büroinnentüren lichte Breite mindestens 0,90 m, robuste Zargen und Türblätter, Profilzylinderschloss. Sanitärtüren mit Frei-/Besetzt-Anzeige; abweichende Breiten nur soweit genehmigungs- und nutzungskonform.</w:t>
      </w:r>
    </w:p>
    <w:p w14:paraId="69414336" w14:textId="77777777" w:rsidR="00D442D8" w:rsidRDefault="00C04E28">
      <w:pPr>
        <w:pStyle w:val="Aufzhlungszeichen"/>
        <w:spacing w:after="50"/>
      </w:pPr>
      <w:r>
        <w:t>Ausreichende Fensterflächen für Tageslicht und Sichtverbindung nach ASR A3.4; mindestens ein öffenbarer Dreh-/Kippflügel je Büro, sofern Lüftungskonzept nichts Gleichwertiges vorsieht.</w:t>
      </w:r>
    </w:p>
    <w:p w14:paraId="07BC598B" w14:textId="77777777" w:rsidR="00D442D8" w:rsidRDefault="00C04E28">
      <w:pPr>
        <w:pStyle w:val="Aufzhlungszeichen"/>
        <w:spacing w:after="50"/>
      </w:pPr>
      <w:r>
        <w:t>Wärmeschutz-Isolierverglasung; Sanitärfenster blickdicht/ornamentiert.</w:t>
      </w:r>
    </w:p>
    <w:p w14:paraId="5FC3E4B0" w14:textId="77777777" w:rsidR="00D442D8" w:rsidRDefault="00C04E28">
      <w:pPr>
        <w:pStyle w:val="Aufzhlungszeichen"/>
        <w:spacing w:after="50"/>
      </w:pPr>
      <w:r>
        <w:t>Motorisch betriebene, außenliegende Rollläden an allen Bürofenstern einschließlich Rollladenkästen, stabiler seitlicher Führungsschienen, Antriebe, Elektroanschlüsse und raumweiser Steuerung; Sanitärfenster ausgenommen. Aufgrund des Flugbetriebs am benachbarten Hubschrauberlandeplatz muss die Ausführung für die hieraus entstehenden Winddruck-, Windsog- und Luftverwirbelungsbeanspruchungen geeignet sein. Die Eignung ist durch geeignete Produkt- oder Herstellernachweise zu bestätigen. Außenraffstores, Außenja</w:t>
      </w:r>
      <w:r>
        <w:t>lousien und textile Screens sind nicht zulässig.</w:t>
      </w:r>
    </w:p>
    <w:p w14:paraId="792920CE" w14:textId="77777777" w:rsidR="00D442D8" w:rsidRDefault="00C04E28" w:rsidP="00C04E28">
      <w:pPr>
        <w:pStyle w:val="berschrift1"/>
      </w:pPr>
      <w:r>
        <w:t>8. Elektro-, Beleuchtungs- und Dateninfrastruktur</w:t>
      </w:r>
    </w:p>
    <w:p w14:paraId="39DC7C1E" w14:textId="77777777" w:rsidR="00D442D8" w:rsidRDefault="00C04E28">
      <w:pPr>
        <w:pStyle w:val="Aufzhlungszeichen"/>
        <w:spacing w:after="50"/>
      </w:pPr>
      <w:r>
        <w:t>Komplette interne Elektroanlage ab bauseitigem Übergabepunkt einschließlich witterungsbeständiger Außenhauptverteilung, Hauptschalter, Unterverteilungen, Leitungen, Schutz-/Trenneinrichtungen, Kennzeichnung und Dokumentation.</w:t>
      </w:r>
    </w:p>
    <w:p w14:paraId="5A925959" w14:textId="77777777" w:rsidR="00D442D8" w:rsidRDefault="00C04E28">
      <w:pPr>
        <w:pStyle w:val="Aufzhlungszeichen"/>
        <w:spacing w:after="50"/>
      </w:pPr>
      <w:r>
        <w:t>Potentialausgleich einschließlich Anschlussmöglichkeit an den bauseitigen Erder; Überspannungsschutz Typ 1/2 oder nach standortbezogenem Schutzkonzept. Der bauseitige Tiefen-/Fundamenterder selbst ist nur bei ausdrücklicher Beauftragung enthalten.</w:t>
      </w:r>
    </w:p>
    <w:p w14:paraId="3B7A8BFD" w14:textId="77777777" w:rsidR="00D442D8" w:rsidRDefault="00C04E28">
      <w:pPr>
        <w:pStyle w:val="Aufzhlungszeichen"/>
        <w:spacing w:after="50"/>
      </w:pPr>
      <w:r>
        <w:t>Jede Moduleinheit bzw. jeder erforderliche Stromkreis mit Fehlerstrom-Schutzeinrichtungen und Leitungsschutz gemäß VDE. Selektivität und Anschlussleistung sind nachzuweisen.</w:t>
      </w:r>
    </w:p>
    <w:p w14:paraId="67594EE3" w14:textId="77777777" w:rsidR="00D442D8" w:rsidRDefault="00C04E28">
      <w:pPr>
        <w:pStyle w:val="Aufzhlungszeichen"/>
        <w:spacing w:after="50"/>
      </w:pPr>
      <w:r>
        <w:t xml:space="preserve">LED-Beleuchtung nach ASR A3.4 für Büroarbeitsplätze; </w:t>
      </w:r>
      <w:proofErr w:type="spellStart"/>
      <w:r>
        <w:t>blendarm</w:t>
      </w:r>
      <w:proofErr w:type="spellEnd"/>
      <w:r>
        <w:t>, gleichmäßig und energieeffizient. Flurleuchten mit Präsenzmeldern; Sanitär-/Küchenleuchten für die Nutzung geeignet.</w:t>
      </w:r>
    </w:p>
    <w:p w14:paraId="68343C78" w14:textId="77777777" w:rsidR="00D442D8" w:rsidRDefault="00C04E28">
      <w:pPr>
        <w:pStyle w:val="Aufzhlungszeichen"/>
        <w:spacing w:after="50"/>
      </w:pPr>
      <w:r>
        <w:t>Sicherheits-/Fluchtwegbeleuchtung und beleuchtete/erkennbar ausgeführte Rettungswegkennzeichnung nach Brandschutzkonzept und Genehmigung.</w:t>
      </w:r>
    </w:p>
    <w:p w14:paraId="3700B7EA" w14:textId="77777777" w:rsidR="00D442D8" w:rsidRDefault="00C04E28">
      <w:pPr>
        <w:pStyle w:val="Aufzhlungszeichen"/>
        <w:spacing w:after="50"/>
      </w:pPr>
      <w:r>
        <w:t>Zwei witterungsbeständige Außenleuchten an den Zugängen, gesteuert über Bewegungs- und Dämmerungssensoren.</w:t>
      </w:r>
    </w:p>
    <w:p w14:paraId="319C4A33" w14:textId="77777777" w:rsidR="00D442D8" w:rsidRDefault="00C04E28">
      <w:pPr>
        <w:pStyle w:val="Aufzhlungszeichen"/>
        <w:spacing w:after="50"/>
      </w:pPr>
      <w:r>
        <w:t>Durchgängiger, trennstegbewehrter Brüstungskanal auf der Fensterseite aller Büroräume, Richtmaß mindestens 68 × 170 mm; mindestens zwei geeignete Modulübergänge je Einheit und ein zusätzlicher Querverbindungskanal von ca. 15 m.</w:t>
      </w:r>
    </w:p>
    <w:p w14:paraId="53D75739" w14:textId="77777777" w:rsidR="00D442D8" w:rsidRDefault="00C04E28">
      <w:pPr>
        <w:pStyle w:val="Aufzhlungszeichen"/>
        <w:spacing w:after="50"/>
      </w:pPr>
      <w:r>
        <w:t>Je Büroraum mindestens vier Doppelsteckdosen 230 V; bei Mehrpersonenräumen entsprechend der ausgewiesenen Arbeitsplatzanzahl mehr. Küche, Sanitär, Heizung und Kühlung erhalten separate bedarfsgerechte Stromkreise.</w:t>
      </w:r>
    </w:p>
    <w:p w14:paraId="073A179A" w14:textId="77777777" w:rsidR="00D442D8" w:rsidRDefault="00C04E28">
      <w:pPr>
        <w:pStyle w:val="Aufzhlungszeichen"/>
        <w:spacing w:after="50"/>
      </w:pPr>
      <w:r>
        <w:t>Passive Datenverkabelung: mindestens vier RJ45-Anschlüsse Cat. 6A je vorgesehenem Arbeitsplatz, Verkabelung mindestens Cat. 7A, zentral aufgelegt und gemessen; aktive Netzwerkkomponenten bauseits.</w:t>
      </w:r>
    </w:p>
    <w:p w14:paraId="5AA82604" w14:textId="77777777" w:rsidR="00D442D8" w:rsidRDefault="00C04E28">
      <w:pPr>
        <w:pStyle w:val="Aufzhlungszeichen"/>
        <w:spacing w:after="50"/>
      </w:pPr>
      <w:r>
        <w:t xml:space="preserve">Ein </w:t>
      </w:r>
      <w:r>
        <w:t>Netzwerkverteiler</w:t>
      </w:r>
      <w:r>
        <w:t xml:space="preserve"> Fabrikat</w:t>
      </w:r>
      <w:r>
        <w:t>/Typ</w:t>
      </w:r>
      <w:r>
        <w:t xml:space="preserve"> RITTAL</w:t>
      </w:r>
      <w:r>
        <w:t>/RKH</w:t>
      </w:r>
      <w:r>
        <w:t>10</w:t>
      </w:r>
      <w:r>
        <w:t xml:space="preserve">00 </w:t>
      </w:r>
      <w:r>
        <w:t>mit einem LWL-</w:t>
      </w:r>
      <w:r>
        <w:t>Patchf</w:t>
      </w:r>
      <w:r>
        <w:t xml:space="preserve">eld </w:t>
      </w:r>
      <w:r>
        <w:t xml:space="preserve">mit </w:t>
      </w:r>
      <w:proofErr w:type="spellStart"/>
      <w:r>
        <w:t>Spleißbox</w:t>
      </w:r>
      <w:proofErr w:type="spellEnd"/>
      <w:r>
        <w:t xml:space="preserve"> für LC-Dup</w:t>
      </w:r>
      <w:r>
        <w:t>lexkupplungen für mindestens 12 Fasern</w:t>
      </w:r>
      <w:r>
        <w:t xml:space="preserve"> </w:t>
      </w:r>
      <w:r>
        <w:t xml:space="preserve">OS2 </w:t>
      </w:r>
      <w:r>
        <w:t xml:space="preserve">und </w:t>
      </w:r>
      <w:r>
        <w:t>Patchfeldern Cat.</w:t>
      </w:r>
      <w:r>
        <w:t xml:space="preserve"> 6</w:t>
      </w:r>
      <w:r>
        <w:t>A</w:t>
      </w:r>
      <w:r>
        <w:t xml:space="preserve"> mit 24 Ports nach Bedarf</w:t>
      </w:r>
      <w:r>
        <w:t>.</w:t>
      </w:r>
      <w:r>
        <w:t xml:space="preserve"> Der Aufbau des Netzwerkverteilers ist rechtzeitig vor E</w:t>
      </w:r>
      <w:r>
        <w:t xml:space="preserve">inbau der passiven Komponenten mit </w:t>
      </w:r>
      <w:r>
        <w:t>RKH ZIV-SYS abzustimmen</w:t>
      </w:r>
      <w:r>
        <w:t>.</w:t>
      </w:r>
    </w:p>
    <w:p w14:paraId="7FC754B2" w14:textId="77777777" w:rsidR="00D442D8" w:rsidRDefault="00C04E28">
      <w:pPr>
        <w:pStyle w:val="Aufzhlungszeichen"/>
        <w:spacing w:after="50"/>
      </w:pPr>
      <w:r>
        <w:lastRenderedPageBreak/>
        <w:t xml:space="preserve">Erstprüfung, Messprotokolle und Kennzeichnung nach den einschlägigen DIN-VDE-/DGUV-Regeln </w:t>
      </w:r>
      <w:r>
        <w:t>und den Vorgaben der RKH</w:t>
      </w:r>
      <w:r>
        <w:t xml:space="preserve"> Fachbereich Elektro</w:t>
      </w:r>
      <w:r>
        <w:t xml:space="preserve"> </w:t>
      </w:r>
      <w:r>
        <w:t>vor Übergabe; Bestands- und Stromlaufpläne digital und in Papierform.</w:t>
      </w:r>
    </w:p>
    <w:p w14:paraId="1D092A6D" w14:textId="77777777" w:rsidR="00D442D8" w:rsidRDefault="00C04E28">
      <w:pPr>
        <w:pStyle w:val="berschrift1"/>
      </w:pPr>
      <w:r>
        <w:t>9. Heizung, Kühlung und Lüftung</w:t>
      </w:r>
    </w:p>
    <w:p w14:paraId="03AD5185" w14:textId="77777777" w:rsidR="00D442D8" w:rsidRDefault="00C04E28">
      <w:pPr>
        <w:pStyle w:val="Aufzhlungszeichen"/>
        <w:spacing w:after="50"/>
      </w:pPr>
      <w:r>
        <w:t xml:space="preserve">Einzeln regelbare Elektroheizung oder gleichwertiges System für sämtliche Räume; Auslegung auf die nach ASR A3.5 erforderlichen </w:t>
      </w:r>
      <w:r>
        <w:t>Raumtemperaturen unter den örtlichen Auslegungsbedingungen.</w:t>
      </w:r>
    </w:p>
    <w:p w14:paraId="2B1D1E74" w14:textId="77777777" w:rsidR="00D442D8" w:rsidRDefault="00C04E28">
      <w:pPr>
        <w:pStyle w:val="Aufzhlungszeichen"/>
        <w:spacing w:after="50"/>
      </w:pPr>
      <w:r>
        <w:t>Kühlung sämtlicher elf Büroräume durch energieeffiziente Split- oder gleichwertige Kälteanlagen; Richtwert ca. 3,5–3,7 kW je Büroraum, endgültige Leistung nach Kühllast. Monoblockgeräte mit Abluftschlauch sind nicht gleichwertig.</w:t>
      </w:r>
    </w:p>
    <w:p w14:paraId="17261864" w14:textId="77777777" w:rsidR="00D442D8" w:rsidRDefault="00C04E28">
      <w:pPr>
        <w:pStyle w:val="Aufzhlungszeichen"/>
        <w:spacing w:after="50"/>
      </w:pPr>
      <w:r>
        <w:t xml:space="preserve">Sichere, frostsichere Leitungsführung, </w:t>
      </w:r>
      <w:proofErr w:type="spellStart"/>
      <w:r>
        <w:t>Kondensatableitung</w:t>
      </w:r>
      <w:proofErr w:type="spellEnd"/>
      <w:r>
        <w:t xml:space="preserve"> und Aufstellung der Außengeräte ohne Gefährdung, unzumutbare Geräusche oder Behinderung der Rettungs-/Verkehrswege.</w:t>
      </w:r>
    </w:p>
    <w:p w14:paraId="2B827C69" w14:textId="77777777" w:rsidR="00D442D8" w:rsidRDefault="00C04E28">
      <w:pPr>
        <w:pStyle w:val="Aufzhlungszeichen"/>
        <w:spacing w:after="50"/>
      </w:pPr>
      <w:r>
        <w:t>Sanitär- und Küchenräume erhalten bedarfsgerechte mechanische Abluft, Richtwert mindestens 90 m³/h je erforderlicher Einheit, mit Nachlauf und geeigneter Nachströmung.</w:t>
      </w:r>
    </w:p>
    <w:p w14:paraId="47EB97F1" w14:textId="77777777" w:rsidR="00D442D8" w:rsidRDefault="00C04E28">
      <w:pPr>
        <w:pStyle w:val="Aufzhlungszeichen"/>
        <w:spacing w:after="50"/>
      </w:pPr>
      <w:r>
        <w:t>Kältemittel und Anlagen müssen der Verordnung (EU) 2024/573 und den zum Lieferzeitpunkt geltenden Anforderungen entsprechen. Kältemittel, Füllmenge und GWP sind zu deklarieren.</w:t>
      </w:r>
    </w:p>
    <w:p w14:paraId="3430E38D" w14:textId="77777777" w:rsidR="00D442D8" w:rsidRDefault="00C04E28">
      <w:pPr>
        <w:pStyle w:val="Aufzhlungszeichen"/>
        <w:spacing w:after="50"/>
      </w:pPr>
      <w:r>
        <w:t>Erstinbetriebnahme und Einregulierung sind Pflichtleistung. Wartung, Dichtheitskontrollen und Filterservice für die ersten fünf Betriebsjahre sind als gesonderte Option mit jährlichen Festpreisen anzubieten; Gewährleistungsarbeiten bleiben hiervon unberührt.</w:t>
      </w:r>
    </w:p>
    <w:p w14:paraId="52965A62" w14:textId="77777777" w:rsidR="00D442D8" w:rsidRDefault="00C04E28">
      <w:pPr>
        <w:pStyle w:val="berschrift1"/>
      </w:pPr>
      <w:r>
        <w:t>10. Sanitär und Trinkwasserhygiene</w:t>
      </w:r>
    </w:p>
    <w:p w14:paraId="6D164A59" w14:textId="77777777" w:rsidR="00D442D8" w:rsidRDefault="00C04E28">
      <w:pPr>
        <w:pStyle w:val="Aufzhlungszeichen"/>
        <w:spacing w:after="50"/>
      </w:pPr>
      <w:r>
        <w:t>Interne Trinkwasserinstallation in hierfür zugelassenen Werkstoffen, vollständig spül- und desinfizierbar, mit absperrbarem Übergabepunkt, Rückflussverhinderer, Druckminderer und Kombi-/Rückspülfilter.</w:t>
      </w:r>
    </w:p>
    <w:p w14:paraId="0B2F35FE" w14:textId="77777777" w:rsidR="00D442D8" w:rsidRDefault="00C04E28">
      <w:pPr>
        <w:pStyle w:val="Aufzhlungszeichen"/>
        <w:spacing w:after="50"/>
      </w:pPr>
      <w:r>
        <w:t>Interne Schmutzwasserleitungen schallgedämmt und mit ausreichendem Gefälle bis zum bauseitigen Übergabepunkt. Durchführungen wetter- und frostsicher.</w:t>
      </w:r>
    </w:p>
    <w:p w14:paraId="2D36F5EA" w14:textId="77777777" w:rsidR="00D442D8" w:rsidRDefault="00C04E28">
      <w:pPr>
        <w:pStyle w:val="Aufzhlungszeichen"/>
        <w:spacing w:after="50"/>
      </w:pPr>
      <w:r>
        <w:t>Mindestens zwei wandhängende Tiefspül-WC mit Unterputzspülkasten, ein Urinal, zwei Waschbecken ca. 500 mm, Armaturen, Spiegel, Ablagen, Seifen- und Papierhandtuchspender, Papierhalter, Bürstengarnituren, Haken und vollständige Trenn-/Schamwände.</w:t>
      </w:r>
    </w:p>
    <w:p w14:paraId="3084E508" w14:textId="77777777" w:rsidR="00D442D8" w:rsidRDefault="00C04E28">
      <w:pPr>
        <w:pStyle w:val="Aufzhlungszeichen"/>
        <w:spacing w:after="50"/>
      </w:pPr>
      <w:r>
        <w:t>Warmwasser an den Handwaschbecken durch hygienisch geeignete, dezentrale Kleindurchlauferhitzer oder gleichwertig. Totleitungen sind zu vermeiden.</w:t>
      </w:r>
    </w:p>
    <w:p w14:paraId="75532145" w14:textId="77777777" w:rsidR="00D442D8" w:rsidRDefault="00C04E28">
      <w:pPr>
        <w:pStyle w:val="Aufzhlungszeichen"/>
        <w:spacing w:after="50"/>
      </w:pPr>
      <w:r>
        <w:t>Werkseitige bzw. vor Inbetriebnahme durchgeführte Spülung/Desinfektion und dokumentierte Freigabe der Trinkwasserinstallation; bei erforderlicher mikrobiologischer Untersuchung ist die Probenahme durch eine zugelassene Stelle zu ermöglichen.</w:t>
      </w:r>
    </w:p>
    <w:p w14:paraId="11304B35" w14:textId="77777777" w:rsidR="00D442D8" w:rsidRDefault="00C04E28">
      <w:pPr>
        <w:pStyle w:val="Aufzhlungszeichen"/>
        <w:spacing w:after="50"/>
      </w:pPr>
      <w:r>
        <w:t>Ein barrierefreies WC und eine barrierefreie äußere Erschließung sind als gesonderte Bedarfsposition einschließlich Flächen-/Grundrissanpassung anzubieten. Eine Beauftragung erfolgt nach bau- und arbeitsschutzrechtlicher Klärung.</w:t>
      </w:r>
    </w:p>
    <w:p w14:paraId="04C1DC8A" w14:textId="77777777" w:rsidR="00D442D8" w:rsidRDefault="00C04E28">
      <w:pPr>
        <w:pStyle w:val="berschrift1"/>
      </w:pPr>
      <w:r>
        <w:t>11. Teeküche</w:t>
      </w:r>
    </w:p>
    <w:p w14:paraId="1C365B06" w14:textId="77777777" w:rsidR="00D442D8" w:rsidRDefault="00C04E28">
      <w:r>
        <w:t>Betriebsfertige Küchenzeile mit einer Länge von mindestens 1,50 m, robusten Ober-/Unterschränken, Arbeitsplatte, Edelstahlspüle, Armatur, LED-Arbeitsbeleuchtung, Kühlschrank ca. 110 l mit Gefrierfach, schmalem Geschirrspüler, zweiflammiger Glaskeramik-/Induktionskochzone sowie dezentraler Warmwasserversorgung. Alle Geräte sind energieeffizient, elektrisch geprüft und mit deutschen Bedienungsanleitungen zu übergeben.</w:t>
      </w:r>
    </w:p>
    <w:p w14:paraId="6C4EB431" w14:textId="77777777" w:rsidR="00D442D8" w:rsidRDefault="00C04E28">
      <w:pPr>
        <w:pStyle w:val="berschrift1"/>
      </w:pPr>
      <w:r>
        <w:t>12. Brandschutz, Arbeitsschutz und Barrierefreiheit</w:t>
      </w:r>
    </w:p>
    <w:p w14:paraId="2263B2CA" w14:textId="77777777" w:rsidR="00D442D8" w:rsidRDefault="00C04E28">
      <w:pPr>
        <w:pStyle w:val="Aufzhlungszeichen"/>
        <w:spacing w:after="50"/>
      </w:pPr>
      <w:r>
        <w:t>Einhaltung der Baugenehmigung, des Brandschutzkonzepts, der Landesbauordnung Baden-Württemberg, Arbeitsstättenverordnung und einschlägigen ASR in jeweils geltender Fassung.</w:t>
      </w:r>
    </w:p>
    <w:p w14:paraId="65CEB3F1" w14:textId="77777777" w:rsidR="00D442D8" w:rsidRDefault="00C04E28">
      <w:pPr>
        <w:pStyle w:val="Aufzhlungszeichen"/>
        <w:spacing w:after="50"/>
      </w:pPr>
      <w:r>
        <w:lastRenderedPageBreak/>
        <w:t>Baustoffe und Bekleidungen mindestens in der genehmigten Baustoffklasse; erforderliche Abschottungen, Rauchwarn-/Brandmeldekomponenten, Feuerlöscher, Sicherheitsbeleuchtung und Flucht-/Rettungswegkennzeichnung vollständig liefern und dokumentieren.</w:t>
      </w:r>
    </w:p>
    <w:p w14:paraId="45DA061B" w14:textId="77777777" w:rsidR="00D442D8" w:rsidRDefault="00C04E28">
      <w:pPr>
        <w:pStyle w:val="Aufzhlungszeichen"/>
        <w:spacing w:after="50"/>
      </w:pPr>
      <w:r>
        <w:t>Fluchtwege jederzeit frei; Türen in Fluchtrichtung bzw. entsprechend genehmigtem Konzept. E-Öffner und Zutrittssysteme dürfen die Fluchtfunktion nicht beeinträchtigen.</w:t>
      </w:r>
    </w:p>
    <w:p w14:paraId="582926AE" w14:textId="77777777" w:rsidR="00D442D8" w:rsidRDefault="00C04E28">
      <w:pPr>
        <w:pStyle w:val="Aufzhlungszeichen"/>
        <w:spacing w:after="50"/>
      </w:pPr>
      <w:r>
        <w:t>Schwellenarme Zugänge und sichere, beleuchtete Wege. Ob eine vollständige barrierefreie Ausführung einschließlich Rampe/Podest und WC erforderlich ist, wird vor Zuschlag bzw. über die bepreiste Bedarfsposition festgelegt.</w:t>
      </w:r>
    </w:p>
    <w:p w14:paraId="3DBDB821" w14:textId="77777777" w:rsidR="00D442D8" w:rsidRDefault="00C04E28">
      <w:pPr>
        <w:pStyle w:val="Aufzhlungszeichen"/>
        <w:spacing w:after="50"/>
      </w:pPr>
      <w:r>
        <w:t>Gefährdungsbeurteilung/Montageanweisung, Baustellenordnung, persönliche Schutzausrüstung, Absturz-/Kran-/Hebesicherheit sowie Koordination mit dem Sicherheits- und Gesundheitsschutz des Klinikums.</w:t>
      </w:r>
    </w:p>
    <w:p w14:paraId="324D9870" w14:textId="77777777" w:rsidR="00D442D8" w:rsidRDefault="00C04E28">
      <w:pPr>
        <w:pStyle w:val="berschrift1"/>
      </w:pPr>
      <w:r>
        <w:t>13. Transport, Kran und Montage im Krankenhausbetrieb</w:t>
      </w:r>
    </w:p>
    <w:p w14:paraId="65DDE158" w14:textId="77777777" w:rsidR="00D442D8" w:rsidRDefault="00C04E28">
      <w:pPr>
        <w:pStyle w:val="Aufzhlungszeichen"/>
        <w:spacing w:after="50"/>
      </w:pPr>
      <w:r>
        <w:t>Transportkonzept auf Basis des Logistikplans: Umladung im markierten Parkplatzbereich, Solo-Pendel-LKW zur Aufstellfläche und Montage in mindestens zwei Kranabschnitten, soweit das angebotene System dies erfordert.</w:t>
      </w:r>
    </w:p>
    <w:p w14:paraId="0C1AD2F3" w14:textId="77777777" w:rsidR="00D442D8" w:rsidRDefault="00C04E28">
      <w:pPr>
        <w:pStyle w:val="Aufzhlungszeichen"/>
        <w:spacing w:after="50"/>
      </w:pPr>
      <w:r>
        <w:t>Sämtliche Transport-, Ausnahme-, Straßenverkehrs- und Kranerlaubnisse im Verantwortungsbereich des Auftragnehmers; Abstimmung der luftrechtlichen Anordnung bzw. Kranhöhen/-zeiten wegen des benachbarten Hubschrauberlandeplatzes.</w:t>
      </w:r>
    </w:p>
    <w:p w14:paraId="7C1B6FEB" w14:textId="77777777" w:rsidR="00D442D8" w:rsidRDefault="00C04E28">
      <w:pPr>
        <w:pStyle w:val="Aufzhlungszeichen"/>
        <w:spacing w:after="50"/>
      </w:pPr>
      <w:r>
        <w:t>Mobilkran einschließlich Ballast, Anschlagmittel, Personal und aller Nebenkosten in einer für das Montagekonzept ausreichenden Größe; der Richtwert 50 t ist nicht bindend.</w:t>
      </w:r>
    </w:p>
    <w:p w14:paraId="43A17AB0" w14:textId="77777777" w:rsidR="00D442D8" w:rsidRDefault="00C04E28">
      <w:pPr>
        <w:pStyle w:val="Aufzhlungszeichen"/>
        <w:spacing w:after="50"/>
      </w:pPr>
      <w:r>
        <w:t xml:space="preserve">Schutz von Straßen, Bordsteinen, Leitungen, Grünflächen und Gebäuden. Beschädigungen durch </w:t>
      </w:r>
      <w:proofErr w:type="spellStart"/>
      <w:r>
        <w:t>Auftragnehmerleistungen</w:t>
      </w:r>
      <w:proofErr w:type="spellEnd"/>
      <w:r>
        <w:t xml:space="preserve"> sind unverzüglich auf eigene Kosten zu beseitigen.</w:t>
      </w:r>
    </w:p>
    <w:p w14:paraId="24EC9691" w14:textId="77777777" w:rsidR="00D442D8" w:rsidRDefault="00C04E28">
      <w:pPr>
        <w:pStyle w:val="Aufzhlungszeichen"/>
        <w:spacing w:after="50"/>
      </w:pPr>
      <w:r>
        <w:t>Lärm-, Staub- und Verkehrsbelastungen minimieren; kritische Arbeiten, Sperrungen und Kranbewegungen mindestens fünf Arbeitstage vorher mit der Klinik abstimmen.</w:t>
      </w:r>
    </w:p>
    <w:p w14:paraId="23591058" w14:textId="77777777" w:rsidR="00D442D8" w:rsidRDefault="00C04E28">
      <w:pPr>
        <w:pStyle w:val="Aufzhlungszeichen"/>
        <w:spacing w:after="50"/>
      </w:pPr>
      <w:r>
        <w:t>Baustelle täglich sauber und sicher hinterlassen; Abfälle des Auftragnehmers sortieren und entsorgen. Rettungsdienst, Feuerwehrzufahrten und Patienten-/Besucherströme haben Vorrang.</w:t>
      </w:r>
    </w:p>
    <w:p w14:paraId="2AD4C761" w14:textId="77777777" w:rsidR="00D442D8" w:rsidRDefault="00C04E28">
      <w:pPr>
        <w:pStyle w:val="berschrift1"/>
      </w:pPr>
      <w:r>
        <w:t>14. Prüfung, Dokumentation und Abnahme</w:t>
      </w:r>
    </w:p>
    <w:p w14:paraId="3FF18BB0" w14:textId="77777777" w:rsidR="00D442D8" w:rsidRDefault="00C04E28">
      <w:pPr>
        <w:pStyle w:val="berschrift2"/>
      </w:pPr>
      <w:r>
        <w:t>14.1 Vorzulegende Dokumentation</w:t>
      </w:r>
    </w:p>
    <w:p w14:paraId="3088A24D" w14:textId="77777777" w:rsidR="00D442D8" w:rsidRDefault="00C04E28">
      <w:pPr>
        <w:pStyle w:val="Aufzhlungszeichen"/>
        <w:spacing w:after="50"/>
      </w:pPr>
      <w:r>
        <w:t xml:space="preserve">Pläne: Grundrisse, Schnitte, Ansichten, </w:t>
      </w:r>
      <w:r>
        <w:t>Fundament-/Last-/Medienplan und Dachentwässerungsplan.</w:t>
      </w:r>
    </w:p>
    <w:p w14:paraId="04C722C4" w14:textId="77777777" w:rsidR="00D442D8" w:rsidRDefault="00C04E28">
      <w:pPr>
        <w:pStyle w:val="Aufzhlungszeichen"/>
        <w:spacing w:after="50"/>
      </w:pPr>
      <w:r>
        <w:t>Statik-/Energie-/Brand-/Akustiknachweise und relevante Produkt-/Materialnachweise.</w:t>
      </w:r>
    </w:p>
    <w:p w14:paraId="668D74EB" w14:textId="44AC37F4" w:rsidR="00D442D8" w:rsidRDefault="00C04E28">
      <w:pPr>
        <w:pStyle w:val="Aufzhlungszeichen"/>
        <w:spacing w:after="50"/>
      </w:pPr>
      <w:r>
        <w:t xml:space="preserve">Elektroprüf-, Mess-, Schutzleiter-/RCD- und </w:t>
      </w:r>
      <w:r>
        <w:t>Datenmessprotokolle</w:t>
      </w:r>
      <w:r>
        <w:t xml:space="preserve"> mit </w:t>
      </w:r>
      <w:proofErr w:type="spellStart"/>
      <w:r>
        <w:t>Patchfeldansichten</w:t>
      </w:r>
      <w:proofErr w:type="spellEnd"/>
      <w:r>
        <w:t>; Stromlauf-/Verteilerpläne.</w:t>
      </w:r>
    </w:p>
    <w:p w14:paraId="5BCB52A8" w14:textId="77777777" w:rsidR="00D442D8" w:rsidRDefault="00C04E28">
      <w:pPr>
        <w:pStyle w:val="Aufzhlungszeichen"/>
        <w:spacing w:after="50"/>
      </w:pPr>
      <w:r>
        <w:t>Trinkwasser-Spül-/Desinfektionsnachweis, Sanitär-/Kälte-Inbetriebnahmeprotokolle und Wartungspläne.</w:t>
      </w:r>
    </w:p>
    <w:p w14:paraId="222ED777" w14:textId="77777777" w:rsidR="00D442D8" w:rsidRDefault="00C04E28">
      <w:pPr>
        <w:pStyle w:val="Aufzhlungszeichen"/>
        <w:spacing w:after="50"/>
      </w:pPr>
      <w:r>
        <w:t>Schlüssel-/Schließplan, Geräte-/Inventarliste, Bedienungs- und Pflegeanleitungen, Ansprechpartner und Störungsprozess.</w:t>
      </w:r>
    </w:p>
    <w:p w14:paraId="7A0CC14D" w14:textId="77777777" w:rsidR="00D442D8" w:rsidRDefault="00C04E28">
      <w:pPr>
        <w:pStyle w:val="Aufzhlungszeichen"/>
        <w:spacing w:after="50"/>
      </w:pPr>
      <w:r>
        <w:t>Dokumentation digital als durchsuchbare PDF-Dateien und in einem geordneten Papierexemplar spätestens zur Abnahme.</w:t>
      </w:r>
    </w:p>
    <w:p w14:paraId="56609557" w14:textId="77777777" w:rsidR="00D442D8" w:rsidRDefault="00C04E28">
      <w:pPr>
        <w:pStyle w:val="berschrift2"/>
      </w:pPr>
      <w:r>
        <w:t>14.2 Abnahmekriterien</w:t>
      </w:r>
    </w:p>
    <w:p w14:paraId="524E19E0" w14:textId="77777777" w:rsidR="00D442D8" w:rsidRDefault="00C04E28">
      <w:pPr>
        <w:pStyle w:val="Aufzhlungszeichen"/>
        <w:spacing w:after="50"/>
      </w:pPr>
      <w:r>
        <w:t>Genehmigungs- und vertragskonforme, vollständige und sichere Anlage ohne wesentliche Mängel.</w:t>
      </w:r>
    </w:p>
    <w:p w14:paraId="1943761A" w14:textId="77777777" w:rsidR="00D442D8" w:rsidRDefault="00C04E28">
      <w:pPr>
        <w:pStyle w:val="Aufzhlungszeichen"/>
        <w:spacing w:after="50"/>
      </w:pPr>
      <w:r>
        <w:t>Funktionsprüfung aller Türen, Fenster, Sonnenschutz-, Heiz-, Kühl-, Lüftungs-, Elektro-, Beleuchtungs-, Sanitär- und Kücheneinrichtungen.</w:t>
      </w:r>
    </w:p>
    <w:p w14:paraId="4C16811C" w14:textId="77777777" w:rsidR="00D442D8" w:rsidRDefault="00C04E28">
      <w:pPr>
        <w:pStyle w:val="Aufzhlungszeichen"/>
        <w:spacing w:after="50"/>
      </w:pPr>
      <w:r>
        <w:t>Dichte Gebäudehülle, fachgerechte Anschlüsse, vollständig gereinigte Innenräume und gereinigte Außenflächen.</w:t>
      </w:r>
    </w:p>
    <w:p w14:paraId="1663FBD2" w14:textId="77777777" w:rsidR="00D442D8" w:rsidRDefault="00C04E28">
      <w:pPr>
        <w:pStyle w:val="Aufzhlungszeichen"/>
        <w:spacing w:after="50"/>
      </w:pPr>
      <w:r>
        <w:t xml:space="preserve">Vollständige Dokumentation (Revisionsunterlagen, </w:t>
      </w:r>
      <w:proofErr w:type="spellStart"/>
      <w:r>
        <w:t>Errichterbestätigungen</w:t>
      </w:r>
      <w:proofErr w:type="spellEnd"/>
      <w:r>
        <w:t xml:space="preserve"> v.a. zu brandschutzrelevanten Bauteilen), Prüfbescheinigungen/-zeugnisse und Einweisung benannter Beschäftigter des Auftraggebers.</w:t>
      </w:r>
    </w:p>
    <w:p w14:paraId="14C0694E" w14:textId="77777777" w:rsidR="00D442D8" w:rsidRDefault="00C04E28">
      <w:pPr>
        <w:pStyle w:val="Aufzhlungszeichen"/>
        <w:spacing w:after="50"/>
      </w:pPr>
      <w:r>
        <w:lastRenderedPageBreak/>
        <w:t>Offene unwesentliche Restpunkte werden mit Frist, Verantwortlichem und Sicherung dokumentiert; wesentliche Mängel verhindern die Abnahme, den Gefahrübergang und die Fälligkeit der Schlusszahlung.</w:t>
      </w:r>
    </w:p>
    <w:p w14:paraId="349489C9" w14:textId="77777777" w:rsidR="00D442D8" w:rsidRDefault="00C04E28">
      <w:pPr>
        <w:pStyle w:val="berschrift1"/>
      </w:pPr>
      <w:r>
        <w:t>15. Gewährleistungsservice und optionale Wartung</w:t>
      </w:r>
    </w:p>
    <w:p w14:paraId="4176C38E" w14:textId="77777777" w:rsidR="00D442D8" w:rsidRDefault="00C04E28">
      <w:pPr>
        <w:pStyle w:val="Aufzhlungszeichen"/>
        <w:spacing w:after="50"/>
      </w:pPr>
      <w:r>
        <w:t xml:space="preserve">Nach der Abnahme betreibt der Auftraggeber die erworbene Anlage. Gesetzliche und vertragliche Mängelrechte sowie </w:t>
      </w:r>
      <w:r>
        <w:t>zugesicherte Garantien bleiben davon unberührt.</w:t>
      </w:r>
    </w:p>
    <w:p w14:paraId="0438E8C5" w14:textId="77777777" w:rsidR="00D442D8" w:rsidRDefault="00C04E28">
      <w:pPr>
        <w:pStyle w:val="Aufzhlungszeichen"/>
        <w:spacing w:after="50"/>
      </w:pPr>
      <w:r>
        <w:t>Mängelmeldungen müssen werktags binnen 2 Stunden bestätigt werden. Bei Gefährdung, Strom-/Wasserschaden, Ausfall der Gebäudehülle oder Unbenutzbarkeit wesentlicher Bereiche beginnt die Reaktion vor Ort spätestens binnen 4 Stunden; sonstige wesentliche Mängel binnen 1 Arbeitstag.</w:t>
      </w:r>
    </w:p>
    <w:p w14:paraId="16467A4D" w14:textId="77777777" w:rsidR="00D442D8" w:rsidRDefault="00C04E28">
      <w:pPr>
        <w:pStyle w:val="Aufzhlungszeichen"/>
        <w:spacing w:after="50"/>
      </w:pPr>
      <w:r>
        <w:t>Der Bieter bietet optional einen Wartungsvertrag für fünf Jahre an. Dieser umfasst die nach Herstellerangaben und gesetzlichen Vorgaben erforderlichen Inspektionen/Wartungen der fest installierten Heiz-, Kühl-, Lüftungs-, Elektro-, Dachentwässerungs- und Sanitärkomponenten; Gewährleistungsarbeiten dürfen nicht als Wartung berechnet werden.</w:t>
      </w:r>
    </w:p>
    <w:p w14:paraId="28CEA04F" w14:textId="77777777" w:rsidR="00D442D8" w:rsidRDefault="00C04E28">
      <w:pPr>
        <w:pStyle w:val="Aufzhlungszeichen"/>
        <w:spacing w:after="50"/>
      </w:pPr>
      <w:r>
        <w:t>Wartungstermine sind mindestens fünf Arbeitstage vorher abzustimmen. Betriebsunterbrechungen sind zu minimieren und grundsätzlich außerhalb kritischer Klinikzeiten durchzuführen.</w:t>
      </w:r>
    </w:p>
    <w:p w14:paraId="19E8C35A" w14:textId="77777777" w:rsidR="00D442D8" w:rsidRDefault="00C04E28">
      <w:pPr>
        <w:pStyle w:val="Aufzhlungszeichen"/>
        <w:spacing w:after="50"/>
      </w:pPr>
      <w:r>
        <w:t>Der Auftragnehmer übergibt einen vollständigen Wartungs-, Prüf- und Ersatzteilplan mit Intervallen, Qualifikationsanforderungen und empfohlenen Verschleißteilen. Ersatzteile und technische Unterstützung müssen mindestens zehn Jahre verfügbar sein oder durch gleichwertige Komponenten ersetzt werden können.</w:t>
      </w:r>
    </w:p>
    <w:p w14:paraId="119B2692" w14:textId="77777777" w:rsidR="00D442D8" w:rsidRDefault="00C04E28">
      <w:pPr>
        <w:pStyle w:val="Aufzhlungszeichen"/>
        <w:spacing w:after="50"/>
      </w:pPr>
      <w:r>
        <w:t>Verbrauchsmaterialien des täglichen Betriebs (Papier, Seife, Reinigung) trägt der Auftraggeber. Kosten für Mängelbeseitigung und Ersatz mangelhafter Komponenten trägt der Auftragnehmer innerhalb der Gewährleistungsfrist.</w:t>
      </w:r>
    </w:p>
    <w:p w14:paraId="08235E79" w14:textId="77777777" w:rsidR="00D442D8" w:rsidRDefault="00C04E28">
      <w:pPr>
        <w:pStyle w:val="berschrift1"/>
      </w:pPr>
      <w:r>
        <w:t>16. Kauf- und Vertragsbedingungen</w:t>
      </w:r>
    </w:p>
    <w:p w14:paraId="4FEBFA9C" w14:textId="77777777" w:rsidR="00D442D8" w:rsidRDefault="00C04E28">
      <w:pPr>
        <w:pStyle w:val="berschrift2"/>
      </w:pPr>
      <w:r>
        <w:t>16.1 Eigentum, Beschaffenheit und Rechte Dritter</w:t>
      </w:r>
    </w:p>
    <w:p w14:paraId="2AFA046C" w14:textId="77777777" w:rsidR="00D442D8" w:rsidRDefault="00C04E28">
      <w:pPr>
        <w:pStyle w:val="Aufzhlungszeichen"/>
        <w:spacing w:after="50"/>
      </w:pPr>
      <w:r>
        <w:t>Verkauft wird die vollständige, betriebsbereite Anlage einschließlich Module, Tragwerk, Zusatzdach, Außen-/Innenausbau, fest installierter technischer Ausstattung, Küchen-/Sanitärobjekte, Schlüssel, Zubehör und Dokumentation.</w:t>
      </w:r>
    </w:p>
    <w:p w14:paraId="54885D3A" w14:textId="77777777" w:rsidR="00D442D8" w:rsidRDefault="00C04E28">
      <w:pPr>
        <w:pStyle w:val="Aufzhlungszeichen"/>
        <w:spacing w:after="50"/>
      </w:pPr>
      <w:r>
        <w:t>Das Eigentum an sämtlichen Kaufgegenständen geht spätestens mit vollständiger Zahlung auf den Auftraggeber über. Der Gefahrübergang erfolgt erst mit mängelfreier Abnahme. Ein verlängerter oder erweiterter Eigentumsvorbehalt ist ausgeschlossen.</w:t>
      </w:r>
    </w:p>
    <w:p w14:paraId="0E6D6A8B" w14:textId="77777777" w:rsidR="00D442D8" w:rsidRDefault="00C04E28">
      <w:pPr>
        <w:pStyle w:val="Aufzhlungszeichen"/>
        <w:spacing w:after="50"/>
      </w:pPr>
      <w:r>
        <w:t>Der Auftragnehmer gewährleistet, dass alle Kaufgegenstände in seinem Eigentum stehen, frei von Sicherungsrechten, Pfandrechten, Leasing-/Mietbindungen und sonstigen Rechten Dritter sind und uneingeschränkt übereignet werden dürfen.</w:t>
      </w:r>
    </w:p>
    <w:p w14:paraId="169CFC43" w14:textId="77777777" w:rsidR="00D442D8" w:rsidRDefault="00C04E28">
      <w:pPr>
        <w:pStyle w:val="Aufzhlungszeichen"/>
        <w:spacing w:after="50"/>
      </w:pPr>
      <w:r>
        <w:t>Jede Moduleinheit erhält eine dauerhafte Identifikationskennzeichnung. Bei gebrauchten Einheiten sind Eigentumskette, Baujahr, bisherige Verwendung und Werksüberholung nachzuweisen.</w:t>
      </w:r>
    </w:p>
    <w:p w14:paraId="1F865ECC" w14:textId="77777777" w:rsidR="00D442D8" w:rsidRDefault="00C04E28">
      <w:pPr>
        <w:pStyle w:val="berschrift2"/>
      </w:pPr>
      <w:r>
        <w:t>16.2 Preise, Abschlags- und Schlusszahlung</w:t>
      </w:r>
    </w:p>
    <w:p w14:paraId="00EF8464" w14:textId="77777777" w:rsidR="00D442D8" w:rsidRDefault="00C04E28">
      <w:pPr>
        <w:pStyle w:val="Aufzhlungszeichen"/>
        <w:spacing w:after="50"/>
      </w:pPr>
      <w:r>
        <w:t>Alle angebotenen Preise sind Netto-Festpreise und enthalten sämtliche zur vertragsgemäßen Leistung erforderlichen Neben-, Reise-, Fracht-, Maut-, Genehmigungs-, Personal-, Geräte-, Prüf-, Dokumentations- und Entsorgungskosten.</w:t>
      </w:r>
    </w:p>
    <w:p w14:paraId="7FB6A05B" w14:textId="77777777" w:rsidR="00D442D8" w:rsidRDefault="00C04E28">
      <w:pPr>
        <w:pStyle w:val="Aufzhlungszeichen"/>
        <w:spacing w:after="50"/>
      </w:pPr>
      <w:r>
        <w:t xml:space="preserve">Preisgleit-, Diesel-/Maut-/Materialzuschläge oder nachträgliche systembedingte Mehrpreise sind ausgeschlossen. Änderungen aufgrund vom Auftraggeber angeordneter Leistungsänderungen bedürfen vor </w:t>
      </w:r>
      <w:r>
        <w:t>Ausführung einer prüffähigen schriftlichen Vereinbarung.</w:t>
      </w:r>
    </w:p>
    <w:p w14:paraId="1C32AD76" w14:textId="77777777" w:rsidR="00D442D8" w:rsidRDefault="00C04E28">
      <w:pPr>
        <w:pStyle w:val="Aufzhlungszeichen"/>
        <w:spacing w:after="50"/>
      </w:pPr>
      <w:r>
        <w:t xml:space="preserve">Abschlagszahlungen sind nur für nachgewiesene, vertragsgemäße Wertzuwächse zulässig: bis 20 % nach freigegebener Ausführungsplanung und nachgewiesener Fertigungs-/Materialbereitstellung, bis insgesamt 70 % nach vollständiger Lieferung und wetterdichter Montage, bis insgesamt 90 % nach technischer </w:t>
      </w:r>
      <w:r>
        <w:lastRenderedPageBreak/>
        <w:t>Inbetriebnahme. Die restlichen mindestens 10 % werden erst nach mängelfreier Abnahme und vollständiger Dokumentation fällig.</w:t>
      </w:r>
    </w:p>
    <w:p w14:paraId="5F35442F" w14:textId="77777777" w:rsidR="00D442D8" w:rsidRDefault="00C04E28">
      <w:pPr>
        <w:pStyle w:val="Aufzhlungszeichen"/>
        <w:spacing w:after="50"/>
      </w:pPr>
      <w:r>
        <w:t>Vorauszahlungen ohne entsprechenden Wertzuwachs bedürfen einer selbstschuldnerischen, unbefristeten Vorauszahlungsbürgschaft eines in der EU zugelassenen Kreditinstituts oder Kreditversicherers.</w:t>
      </w:r>
    </w:p>
    <w:p w14:paraId="1985A162" w14:textId="77777777" w:rsidR="00D442D8" w:rsidRDefault="00C04E28">
      <w:pPr>
        <w:pStyle w:val="Aufzhlungszeichen"/>
        <w:spacing w:after="50"/>
      </w:pPr>
      <w:r>
        <w:t>Zahlungsziel 30 Kalendertage nach Eingang einer prüffähigen Rechnung und Erreichen des jeweiligen Meilensteins. Zahlungen bedeuten weder Abnahme noch Anerkennung der Mangelfreiheit.</w:t>
      </w:r>
    </w:p>
    <w:p w14:paraId="368CEC11" w14:textId="77777777" w:rsidR="00D442D8" w:rsidRDefault="00C04E28">
      <w:pPr>
        <w:pStyle w:val="berschrift2"/>
      </w:pPr>
      <w:r>
        <w:t>16.3 Gefahr, Versicherung und Haftung</w:t>
      </w:r>
    </w:p>
    <w:p w14:paraId="57491C3F" w14:textId="77777777" w:rsidR="00D442D8" w:rsidRDefault="00C04E28">
      <w:pPr>
        <w:pStyle w:val="Aufzhlungszeichen"/>
        <w:spacing w:after="50"/>
      </w:pPr>
      <w:r>
        <w:t>Gefahr und Verantwortung für die Anlage, Materialien, Transporte, Kran-/Montagearbeiten und Zwischenzustände trägt der Auftragnehmer bis zur Abnahme. Er unterhält hierfür eine ausreichende Transport-, Bauleistungs-/Montage- und Haftpflichtdeckung.</w:t>
      </w:r>
    </w:p>
    <w:p w14:paraId="2ACD6F16" w14:textId="77777777" w:rsidR="00D442D8" w:rsidRDefault="00C04E28">
      <w:pPr>
        <w:pStyle w:val="Aufzhlungszeichen"/>
        <w:spacing w:after="50"/>
      </w:pPr>
      <w:r>
        <w:t>Der Auftragnehmer weist eine Betriebs-/Produkthaftpflichtversicherung mit mindestens 5 Mio. € pauschal für Personen- und Sachschäden und mindestens 1 Mio. € für Vermögensschäden je Schadensfall nach; zweifache Maximierung pro Versicherungsjahr.</w:t>
      </w:r>
    </w:p>
    <w:p w14:paraId="262B5C6F" w14:textId="77777777" w:rsidR="00D442D8" w:rsidRDefault="00C04E28">
      <w:pPr>
        <w:pStyle w:val="Aufzhlungszeichen"/>
        <w:spacing w:after="50"/>
      </w:pPr>
      <w:r>
        <w:t>Mit Abnahme nimmt der Auftraggeber die erworbene Anlage in seine Sach-/Gebäudeversicherung auf. Die Haftung des Auftragnehmers für Mängel, Garantien und von ihm verursachte Schäden bleibt unberührt.</w:t>
      </w:r>
    </w:p>
    <w:p w14:paraId="6885E610" w14:textId="77777777" w:rsidR="00D442D8" w:rsidRDefault="00C04E28">
      <w:pPr>
        <w:pStyle w:val="Aufzhlungszeichen"/>
        <w:spacing w:after="50"/>
      </w:pPr>
      <w:r>
        <w:t>Die Haftung richtet sich nach dem Gesetz. Allgemeine Geschäfts-, Verkaufs- oder Lieferbedingungen des Auftragnehmers werden nicht Vertragsbestandteil.</w:t>
      </w:r>
    </w:p>
    <w:p w14:paraId="73D7E88C" w14:textId="77777777" w:rsidR="00D442D8" w:rsidRDefault="00C04E28">
      <w:pPr>
        <w:pStyle w:val="berschrift2"/>
      </w:pPr>
      <w:r>
        <w:t>16.4 Gewährleistung, Garantien und Verzug</w:t>
      </w:r>
    </w:p>
    <w:p w14:paraId="3D0142EA" w14:textId="77777777" w:rsidR="00D442D8" w:rsidRDefault="00C04E28">
      <w:pPr>
        <w:pStyle w:val="Aufzhlungszeichen"/>
        <w:spacing w:after="50"/>
      </w:pPr>
      <w:r>
        <w:t>Die Gewährleistungsfrist beträgt für Baukörper, Tragwerk, Dach, Fassade, Modulverbindungen, Abdichtungen und fest installierte technische Gebäudeausrüstung mindestens fünf Jahre ab Abnahme; für bewegliche Elektro-/Küchengeräte mindestens zwei Jahre, soweit nicht gesetzlich oder herstellerseitig eine längere Frist gilt.</w:t>
      </w:r>
    </w:p>
    <w:p w14:paraId="7470CED1" w14:textId="77777777" w:rsidR="00D442D8" w:rsidRDefault="00C04E28">
      <w:pPr>
        <w:pStyle w:val="Aufzhlungszeichen"/>
        <w:spacing w:after="50"/>
      </w:pPr>
      <w:r>
        <w:t>Der Auftragnehmer beseitigt Mängel unverzüglich und innerhalb einer vom Auftraggeber angemessen gesetzten Frist. Bei Gefahr im Verzug oder erfolglosem Fristablauf kann der Auftraggeber erforderliche Sicherungs-/Ersatzmaßnahmen auf Kosten des Auftragnehmers veranlassen.</w:t>
      </w:r>
    </w:p>
    <w:p w14:paraId="26BB1087" w14:textId="77777777" w:rsidR="00D442D8" w:rsidRDefault="00C04E28">
      <w:pPr>
        <w:pStyle w:val="Aufzhlungszeichen"/>
        <w:spacing w:after="50"/>
      </w:pPr>
      <w:r>
        <w:t>Für Verzug, Schadensersatz und weitere Rechte gelten die gesetzlichen Bestimmungen. Der verbindliche Übergabetermin ist eine wesentliche Vertragspflicht.</w:t>
      </w:r>
    </w:p>
    <w:p w14:paraId="7175D465" w14:textId="77777777" w:rsidR="00D442D8" w:rsidRDefault="00C04E28">
      <w:pPr>
        <w:pStyle w:val="Aufzhlungszeichen"/>
        <w:spacing w:after="50"/>
      </w:pPr>
      <w:r>
        <w:t>Herstellergarantien sind an den Auftraggeber abzutreten bzw. unmittelbar auf ihn auszustellen; sie schränken die gesetzlichen und vertraglichen Mängelrechte nicht ein.</w:t>
      </w:r>
    </w:p>
    <w:p w14:paraId="50622039" w14:textId="77777777" w:rsidR="00D442D8" w:rsidRDefault="00C04E28">
      <w:pPr>
        <w:pStyle w:val="berschrift2"/>
      </w:pPr>
      <w:r>
        <w:t>16.5 Nachunternehmer und Personal</w:t>
      </w:r>
    </w:p>
    <w:p w14:paraId="5F7B1C86" w14:textId="77777777" w:rsidR="00D442D8" w:rsidRDefault="00C04E28">
      <w:r>
        <w:t>Nachunternehmer sind im Angebot mit Leistungsanteil zu benennen. Ein Austausch oder zusätzlicher Einsatz bedarf der vorherigen Zustimmung des Auftraggebers, die bei nachgewiesener Gleichwertigkeit nicht unbillig verweigert wird. Der Auftragnehmer bleibt alleiniger Vertragspartner und haftet für seine Nachunternehmer wie für eigenes Handeln. Auf dem Klinikgelände eingesetztes Personal ist fachkundig, unterwiesen und eindeutig identifizierbar.</w:t>
      </w:r>
    </w:p>
    <w:p w14:paraId="11021726" w14:textId="77777777" w:rsidR="00D442D8" w:rsidRDefault="00C04E28">
      <w:pPr>
        <w:pStyle w:val="berschrift2"/>
      </w:pPr>
      <w:r>
        <w:t>16.6 Vertraulichkeit, Datenschutz und Hausordnung</w:t>
      </w:r>
    </w:p>
    <w:p w14:paraId="183ED7D0" w14:textId="77777777" w:rsidR="00D442D8" w:rsidRDefault="00C04E28">
      <w:r>
        <w:t>Der Auftragnehmer wahrt Vertraulichkeit über betriebliche und personenbezogene Informationen, die ihm auf dem Krankenhausgelände bekannt werden, und verpflichtet sein Personal entsprechend. Foto-/Videoaufnahmen sind nur nach vorheriger Freigabe zulässig. Haus-, Sicherheits-, Hygiene- und Verkehrsregeln des Klinikums sind einzuhalten.</w:t>
      </w:r>
    </w:p>
    <w:p w14:paraId="3DE9F338" w14:textId="77777777" w:rsidR="00D442D8" w:rsidRDefault="00C04E28">
      <w:pPr>
        <w:pStyle w:val="berschrift2"/>
      </w:pPr>
      <w:r>
        <w:t>16.7 Rangfolge und Schriftform</w:t>
      </w:r>
    </w:p>
    <w:p w14:paraId="53248F13" w14:textId="77777777" w:rsidR="00D442D8" w:rsidRDefault="00C04E28">
      <w:r>
        <w:t>Es gilt die in der Aufforderung zur Angebotsabgabe bestimmte Rangfolge. Vertragsänderungen und Optionen bedürfen mindestens der Textform durch hierzu bevollmächtigte Personen. Mündliche Abreden und Bestätigungen von Baustellenpersonal entfalten keine Vertragswirkung.</w:t>
      </w:r>
    </w:p>
    <w:p w14:paraId="3C919CAD" w14:textId="77777777" w:rsidR="00D442D8" w:rsidRDefault="00C04E28">
      <w:pPr>
        <w:pStyle w:val="berschrift1"/>
      </w:pPr>
      <w:r>
        <w:lastRenderedPageBreak/>
        <w:t>17. Demontierbarkeit, Nachhaltigkeit und spätere Umsetzung</w:t>
      </w:r>
    </w:p>
    <w:p w14:paraId="39346B58" w14:textId="77777777" w:rsidR="00D442D8" w:rsidRDefault="00C04E28">
      <w:pPr>
        <w:pStyle w:val="Aufzhlungszeichen"/>
        <w:spacing w:after="50"/>
      </w:pPr>
      <w:r>
        <w:t>Die erworbene Anlage muss konstruktiv demontier-, transportier-, wiederaufstell- und anpassbar sein, ohne dass wesentliche tragende Komponenten zerstört werden. Verbindungen und Hebepunkte sind hierfür geeignet auszubilden.</w:t>
      </w:r>
    </w:p>
    <w:p w14:paraId="2B06E849" w14:textId="77777777" w:rsidR="00D442D8" w:rsidRDefault="00C04E28">
      <w:pPr>
        <w:pStyle w:val="Aufzhlungszeichen"/>
        <w:spacing w:after="50"/>
      </w:pPr>
      <w:r>
        <w:t>Der Auftragnehmer dokumentiert je Modul Abmessungen, Gewichte, Schwerpunkt, zulässige Anschlagpunkte, Verbindungsmittel, Trennstellen der Medien und die empfohlene Demontage-/Montagereihenfolge.</w:t>
      </w:r>
    </w:p>
    <w:p w14:paraId="4309FFC7" w14:textId="77777777" w:rsidR="00D442D8" w:rsidRDefault="00C04E28">
      <w:pPr>
        <w:pStyle w:val="Aufzhlungszeichen"/>
        <w:spacing w:after="50"/>
      </w:pPr>
      <w:r>
        <w:t>Systemunterlagen dürfen keine technische Abhängigkeit von proprietärer Software, nicht übertragbaren Lizenzen oder ausschließlich durch den ursprünglichen Hersteller erhältlichen Schlüsseln/Werkzeugen erzeugen, soweit dies vermeidbar ist.</w:t>
      </w:r>
    </w:p>
    <w:p w14:paraId="71A6452A" w14:textId="77777777" w:rsidR="00D442D8" w:rsidRDefault="00C04E28">
      <w:pPr>
        <w:pStyle w:val="Aufzhlungszeichen"/>
        <w:spacing w:after="50"/>
      </w:pPr>
      <w:r>
        <w:t>Materialien und Komponenten sind möglichst wiederverwendbar und sortenrein trennbar. Entsorgungs-/Recyclinghinweise und Angaben zu schadstoffrelevanten Stoffen sind zu übergeben.</w:t>
      </w:r>
    </w:p>
    <w:p w14:paraId="12B84E3A" w14:textId="77777777" w:rsidR="00D442D8" w:rsidRDefault="00C04E28">
      <w:pPr>
        <w:pStyle w:val="Aufzhlungszeichen"/>
        <w:spacing w:after="50"/>
      </w:pPr>
      <w:r>
        <w:t>Der Bieter nennt optional aktuelle Richtpreise bzw. Verrechnungssätze für eine spätere Demontage und Umsetzung; diese Angabe begründet ohne gesonderten Abruf keinen Leistungsauftrag und keine Rücknahmeverpflichtung.</w:t>
      </w:r>
    </w:p>
    <w:p w14:paraId="439DC530" w14:textId="77777777" w:rsidR="00D442D8" w:rsidRDefault="00C04E28">
      <w:pPr>
        <w:pStyle w:val="berschrift1"/>
      </w:pPr>
      <w:r>
        <w:t>18. Gleichwertigkeit und Abweichungen</w:t>
      </w:r>
    </w:p>
    <w:p w14:paraId="16A28C2B" w14:textId="77777777" w:rsidR="00D442D8" w:rsidRDefault="00C04E28">
      <w:r>
        <w:t>Marken, Produkttypen oder konkrete Hersteller aus der Markterkundung sind nicht Bestandteil dieser Ausschreibung. Gleichwertigkeit wird ausschließlich anhand der beschriebenen Funktionen, Mindestwerte, Genehmigungsfähigkeit, Lebenszykluskosten und Nachweise beurteilt. Jede Abweichung ist in der verbindlichen Abweichungsliste klar, vollständig und mit Auswirkung auf Funktion, Termine, Schnittstellen und Preis darzustellen. Nicht erklärte Abweichungen gelten als nicht angeboten.</w:t>
      </w:r>
    </w:p>
    <w:sectPr w:rsidR="00D442D8">
      <w:headerReference w:type="default" r:id="rId8"/>
      <w:footerReference w:type="default" r:id="rId9"/>
      <w:pgSz w:w="12240" w:h="15840"/>
      <w:pgMar w:top="1077" w:right="1134" w:bottom="935" w:left="1219" w:header="369" w:footer="3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B3D7C" w14:textId="77777777" w:rsidR="00D442D8" w:rsidRDefault="00C04E28">
      <w:pPr>
        <w:spacing w:after="0" w:line="240" w:lineRule="auto"/>
      </w:pPr>
      <w:r>
        <w:separator/>
      </w:r>
    </w:p>
  </w:endnote>
  <w:endnote w:type="continuationSeparator" w:id="0">
    <w:p w14:paraId="2416D145" w14:textId="77777777" w:rsidR="00D442D8" w:rsidRDefault="00C04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10366" w14:textId="77777777" w:rsidR="00D442D8" w:rsidRDefault="00D442D8">
    <w:pPr>
      <w:pStyle w:val="Fuzeile"/>
    </w:pPr>
  </w:p>
  <w:tbl>
    <w:tblPr>
      <w:tblW w:w="0" w:type="auto"/>
      <w:jc w:val="center"/>
      <w:tblLayout w:type="fixed"/>
      <w:tblLook w:val="04A0" w:firstRow="1" w:lastRow="0" w:firstColumn="1" w:lastColumn="0" w:noHBand="0" w:noVBand="1"/>
    </w:tblPr>
    <w:tblGrid>
      <w:gridCol w:w="7087"/>
      <w:gridCol w:w="2438"/>
    </w:tblGrid>
    <w:tr w:rsidR="00D442D8" w14:paraId="5DD04C89" w14:textId="77777777">
      <w:trPr>
        <w:jc w:val="center"/>
      </w:trPr>
      <w:tc>
        <w:tcPr>
          <w:tcW w:w="7087" w:type="dxa"/>
          <w:tcMar>
            <w:top w:w="0" w:type="dxa"/>
            <w:left w:w="0" w:type="dxa"/>
            <w:bottom w:w="0" w:type="dxa"/>
            <w:right w:w="0" w:type="dxa"/>
          </w:tcMar>
        </w:tcPr>
        <w:p w14:paraId="1FAC4D01" w14:textId="77777777" w:rsidR="00D442D8" w:rsidRDefault="00C04E28">
          <w:r>
            <w:rPr>
              <w:color w:val="6B747C"/>
              <w:sz w:val="16"/>
            </w:rPr>
            <w:t xml:space="preserve">Stand </w:t>
          </w:r>
          <w:proofErr w:type="gramStart"/>
          <w:r>
            <w:rPr>
              <w:color w:val="6B747C"/>
              <w:sz w:val="16"/>
            </w:rPr>
            <w:t>20.07.2026  |</w:t>
          </w:r>
          <w:proofErr w:type="gramEnd"/>
          <w:r>
            <w:rPr>
              <w:color w:val="6B747C"/>
              <w:sz w:val="16"/>
            </w:rPr>
            <w:t xml:space="preserve">  Ausschreibungsentwurf</w:t>
          </w:r>
        </w:p>
      </w:tc>
      <w:tc>
        <w:tcPr>
          <w:tcW w:w="2438" w:type="dxa"/>
          <w:tcMar>
            <w:top w:w="0" w:type="dxa"/>
            <w:left w:w="0" w:type="dxa"/>
            <w:bottom w:w="0" w:type="dxa"/>
            <w:right w:w="0" w:type="dxa"/>
          </w:tcMar>
        </w:tcPr>
        <w:p w14:paraId="3012D709" w14:textId="77777777" w:rsidR="00D442D8" w:rsidRDefault="00C04E28">
          <w:pPr>
            <w:jc w:val="right"/>
          </w:pPr>
          <w:r>
            <w:rPr>
              <w:color w:val="6B747C"/>
              <w:sz w:val="17"/>
            </w:rPr>
            <w:t xml:space="preserve">Seite </w:t>
          </w:r>
          <w:r>
            <w:fldChar w:fldCharType="begin"/>
          </w:r>
          <w:r>
            <w:instrText>PAGE</w:instrText>
          </w:r>
          <w:r>
            <w:fldChar w:fldCharType="separate"/>
          </w:r>
          <w:r w:rsidRPr="00C04E28">
            <w:t>1</w:t>
          </w:r>
          <w:r>
            <w:fldChar w:fldCharType="end"/>
          </w:r>
          <w:r>
            <w:rPr>
              <w:color w:val="6B747C"/>
              <w:sz w:val="17"/>
            </w:rPr>
            <w:t xml:space="preserve"> von </w:t>
          </w:r>
          <w:r>
            <w:fldChar w:fldCharType="begin"/>
          </w:r>
          <w:r>
            <w:instrText>NUMPAGES</w:instrText>
          </w:r>
          <w:r>
            <w:fldChar w:fldCharType="separate"/>
          </w:r>
          <w:r w:rsidRPr="00C04E28">
            <w:t>2</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97EA7" w14:textId="77777777" w:rsidR="00D442D8" w:rsidRDefault="00C04E28">
      <w:pPr>
        <w:spacing w:after="0" w:line="240" w:lineRule="auto"/>
      </w:pPr>
      <w:r>
        <w:separator/>
      </w:r>
    </w:p>
  </w:footnote>
  <w:footnote w:type="continuationSeparator" w:id="0">
    <w:p w14:paraId="09B462DD" w14:textId="77777777" w:rsidR="00D442D8" w:rsidRDefault="00C04E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03AD4" w14:textId="77777777" w:rsidR="00D442D8" w:rsidRDefault="00C04E28">
    <w:pPr>
      <w:pStyle w:val="Kopfzeile"/>
    </w:pPr>
    <w:r>
      <w:rPr>
        <w:b/>
        <w:color w:val="18324A"/>
        <w:sz w:val="17"/>
      </w:rPr>
      <w:t xml:space="preserve">Leistungsbeschreibung und </w:t>
    </w:r>
    <w:proofErr w:type="gramStart"/>
    <w:r>
      <w:rPr>
        <w:b/>
        <w:color w:val="18324A"/>
        <w:sz w:val="17"/>
      </w:rPr>
      <w:t>Vertragsbedingungen</w:t>
    </w:r>
    <w:r>
      <w:rPr>
        <w:color w:val="6B747C"/>
        <w:sz w:val="17"/>
      </w:rPr>
      <w:t xml:space="preserve">  |</w:t>
    </w:r>
    <w:proofErr w:type="gramEnd"/>
    <w:r>
      <w:rPr>
        <w:color w:val="6B747C"/>
        <w:sz w:val="17"/>
      </w:rPr>
      <w:t xml:space="preserve">  Interimsbüro Mühlacker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num w:numId="1" w16cid:durableId="994339793">
    <w:abstractNumId w:val="8"/>
  </w:num>
  <w:num w:numId="2" w16cid:durableId="1803502930">
    <w:abstractNumId w:val="6"/>
  </w:num>
  <w:num w:numId="3" w16cid:durableId="1063521982">
    <w:abstractNumId w:val="5"/>
  </w:num>
  <w:num w:numId="4" w16cid:durableId="1950356366">
    <w:abstractNumId w:val="4"/>
  </w:num>
  <w:num w:numId="5" w16cid:durableId="938099559">
    <w:abstractNumId w:val="7"/>
  </w:num>
  <w:num w:numId="6" w16cid:durableId="1156265750">
    <w:abstractNumId w:val="3"/>
  </w:num>
  <w:num w:numId="7" w16cid:durableId="1556038767">
    <w:abstractNumId w:val="2"/>
  </w:num>
  <w:num w:numId="8" w16cid:durableId="61679531">
    <w:abstractNumId w:val="1"/>
  </w:num>
  <w:num w:numId="9" w16cid:durableId="2067415685">
    <w:abstractNumId w:val="0"/>
  </w:num>
  <w:num w:numId="10" w16cid:durableId="13347266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2D8"/>
    <w:rsid w:val="00674FD3"/>
    <w:rsid w:val="00C04E28"/>
    <w:rsid w:val="00D442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3557E3"/>
  <w14:defaultImageDpi w14:val="300"/>
  <w15:docId w15:val="{BFD466EE-BD93-4426-B399-6B9314B60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10" w:line="259" w:lineRule="auto"/>
    </w:pPr>
    <w:rPr>
      <w:rFonts w:ascii="Aptos" w:hAnsi="Aptos"/>
      <w:color w:val="20262B"/>
      <w:sz w:val="20"/>
      <w:lang w:val="de-DE"/>
    </w:rPr>
  </w:style>
  <w:style w:type="paragraph" w:styleId="berschrift1">
    <w:name w:val="heading 1"/>
    <w:basedOn w:val="Standard"/>
    <w:next w:val="Standard"/>
    <w:link w:val="berschrift1Zchn"/>
    <w:uiPriority w:val="9"/>
    <w:qFormat/>
    <w:pPr>
      <w:keepNext/>
      <w:keepLines/>
      <w:spacing w:before="320" w:after="140"/>
      <w:outlineLvl w:val="0"/>
    </w:pPr>
    <w:rPr>
      <w:rFonts w:asciiTheme="majorHAnsi" w:eastAsiaTheme="majorEastAsia" w:hAnsiTheme="majorHAnsi" w:cstheme="majorBidi"/>
      <w:b/>
      <w:bCs/>
      <w:color w:val="18324A"/>
      <w:sz w:val="32"/>
      <w:szCs w:val="28"/>
    </w:rPr>
  </w:style>
  <w:style w:type="paragraph" w:styleId="berschrift2">
    <w:name w:val="heading 2"/>
    <w:basedOn w:val="Standard"/>
    <w:next w:val="Standard"/>
    <w:link w:val="berschrift2Zchn"/>
    <w:uiPriority w:val="9"/>
    <w:unhideWhenUsed/>
    <w:qFormat/>
    <w:pPr>
      <w:keepNext/>
      <w:keepLines/>
      <w:spacing w:before="240" w:after="80"/>
      <w:outlineLvl w:val="1"/>
    </w:pPr>
    <w:rPr>
      <w:rFonts w:asciiTheme="majorHAnsi" w:eastAsiaTheme="majorEastAsia" w:hAnsiTheme="majorHAnsi" w:cstheme="majorBidi"/>
      <w:b/>
      <w:bCs/>
      <w:color w:val="246B8E"/>
      <w:sz w:val="24"/>
      <w:szCs w:val="26"/>
    </w:rPr>
  </w:style>
  <w:style w:type="paragraph" w:styleId="berschrift3">
    <w:name w:val="heading 3"/>
    <w:basedOn w:val="Standard"/>
    <w:next w:val="Standard"/>
    <w:link w:val="berschrift3Zchn"/>
    <w:uiPriority w:val="9"/>
    <w:unhideWhenUsed/>
    <w:qFormat/>
    <w:pPr>
      <w:keepNext/>
      <w:keepLines/>
      <w:spacing w:before="160" w:after="60"/>
      <w:outlineLvl w:val="2"/>
    </w:pPr>
    <w:rPr>
      <w:rFonts w:asciiTheme="majorHAnsi" w:eastAsiaTheme="majorEastAsia" w:hAnsiTheme="majorHAnsi" w:cstheme="majorBidi"/>
      <w:b/>
      <w:bCs/>
      <w:color w:val="18324A"/>
      <w:sz w:val="21"/>
    </w:rPr>
  </w:style>
  <w:style w:type="paragraph" w:styleId="berschrift4">
    <w:name w:val="heading 4"/>
    <w:basedOn w:val="Standard"/>
    <w:next w:val="Standard"/>
    <w:link w:val="berschrift4Zchn"/>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pPr>
      <w:keepNext/>
      <w:keepLines/>
      <w:spacing w:before="200" w:after="0"/>
      <w:outlineLvl w:val="7"/>
    </w:pPr>
    <w:rPr>
      <w:rFonts w:asciiTheme="majorHAnsi" w:eastAsiaTheme="majorEastAsia" w:hAnsiTheme="majorHAnsi" w:cstheme="majorBidi"/>
      <w:color w:val="4F81BD" w:themeColor="accent1"/>
      <w:szCs w:val="20"/>
    </w:rPr>
  </w:style>
  <w:style w:type="paragraph" w:styleId="berschrift9">
    <w:name w:val="heading 9"/>
    <w:basedOn w:val="Standard"/>
    <w:next w:val="Standard"/>
    <w:link w:val="berschrift9Zchn"/>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680"/>
        <w:tab w:val="right" w:pos="9360"/>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pPr>
      <w:spacing w:after="0" w:line="240" w:lineRule="auto"/>
    </w:p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pPr>
      <w:keepNext/>
      <w:pBdr>
        <w:bottom w:val="single" w:sz="8" w:space="4" w:color="4F81BD" w:themeColor="accent1"/>
      </w:pBdr>
      <w:spacing w:after="160" w:line="240" w:lineRule="auto"/>
      <w:contextualSpacing/>
    </w:pPr>
    <w:rPr>
      <w:rFonts w:asciiTheme="majorHAnsi" w:eastAsiaTheme="majorEastAsia" w:hAnsiTheme="majorHAnsi" w:cstheme="majorBidi"/>
      <w:b/>
      <w:color w:val="18324A"/>
      <w:spacing w:val="5"/>
      <w:kern w:val="28"/>
      <w:sz w:val="54"/>
      <w:szCs w:val="52"/>
    </w:rPr>
  </w:style>
  <w:style w:type="character" w:customStyle="1" w:styleId="TitelZchn">
    <w:name w:val="Titel Zchn"/>
    <w:basedOn w:val="Absatz-Standardschriftart"/>
    <w:link w:val="Titel"/>
    <w:uiPriority w:val="10"/>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pPr>
      <w:keepNext/>
      <w:numPr>
        <w:ilvl w:val="1"/>
      </w:numPr>
      <w:spacing w:after="280"/>
    </w:pPr>
    <w:rPr>
      <w:rFonts w:asciiTheme="majorHAnsi" w:eastAsiaTheme="majorEastAsia" w:hAnsiTheme="majorHAnsi" w:cstheme="majorBidi"/>
      <w:i/>
      <w:iCs/>
      <w:color w:val="6B747C"/>
      <w:spacing w:val="15"/>
      <w:sz w:val="26"/>
      <w:szCs w:val="24"/>
    </w:rPr>
  </w:style>
  <w:style w:type="character" w:customStyle="1" w:styleId="UntertitelZchn">
    <w:name w:val="Untertitel Zchn"/>
    <w:basedOn w:val="Absatz-Standardschriftart"/>
    <w:link w:val="Untertitel"/>
    <w:uiPriority w:val="11"/>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pPr>
      <w:ind w:left="720"/>
      <w:contextualSpacing/>
    </w:pPr>
  </w:style>
  <w:style w:type="paragraph" w:styleId="Textkrper">
    <w:name w:val="Body Text"/>
    <w:basedOn w:val="Standard"/>
    <w:link w:val="TextkrperZchn"/>
    <w:uiPriority w:val="99"/>
    <w:unhideWhenUsed/>
    <w:pPr>
      <w:spacing w:after="120"/>
    </w:pPr>
  </w:style>
  <w:style w:type="character" w:customStyle="1" w:styleId="TextkrperZchn">
    <w:name w:val="Textkörper Zchn"/>
    <w:basedOn w:val="Absatz-Standardschriftart"/>
    <w:link w:val="Textkrper"/>
    <w:uiPriority w:val="99"/>
  </w:style>
  <w:style w:type="paragraph" w:styleId="Textkrper2">
    <w:name w:val="Body Text 2"/>
    <w:basedOn w:val="Standard"/>
    <w:link w:val="Textkrper2Zchn"/>
    <w:uiPriority w:val="99"/>
    <w:unhideWhenUsed/>
    <w:pPr>
      <w:spacing w:after="120" w:line="480" w:lineRule="auto"/>
    </w:pPr>
  </w:style>
  <w:style w:type="character" w:customStyle="1" w:styleId="Textkrper2Zchn">
    <w:name w:val="Textkörper 2 Zchn"/>
    <w:basedOn w:val="Absatz-Standardschriftart"/>
    <w:link w:val="Textkrper2"/>
    <w:uiPriority w:val="99"/>
  </w:style>
  <w:style w:type="paragraph" w:styleId="Textkrper3">
    <w:name w:val="Body Text 3"/>
    <w:basedOn w:val="Standard"/>
    <w:link w:val="Textkrper3Zchn"/>
    <w:uiPriority w:val="99"/>
    <w:unhideWhenUsed/>
    <w:pPr>
      <w:spacing w:after="120"/>
    </w:pPr>
    <w:rPr>
      <w:sz w:val="16"/>
      <w:szCs w:val="16"/>
    </w:rPr>
  </w:style>
  <w:style w:type="character" w:customStyle="1" w:styleId="Textkrper3Zchn">
    <w:name w:val="Textkörper 3 Zchn"/>
    <w:basedOn w:val="Absatz-Standardschriftart"/>
    <w:link w:val="Textkrper3"/>
    <w:uiPriority w:val="99"/>
    <w:rPr>
      <w:sz w:val="16"/>
      <w:szCs w:val="16"/>
    </w:rPr>
  </w:style>
  <w:style w:type="paragraph" w:styleId="Liste">
    <w:name w:val="List"/>
    <w:basedOn w:val="Standard"/>
    <w:uiPriority w:val="99"/>
    <w:unhideWhenUsed/>
    <w:pPr>
      <w:ind w:left="360" w:hanging="360"/>
      <w:contextualSpacing/>
    </w:pPr>
  </w:style>
  <w:style w:type="paragraph" w:styleId="Liste2">
    <w:name w:val="List 2"/>
    <w:basedOn w:val="Standard"/>
    <w:uiPriority w:val="99"/>
    <w:unhideWhenUsed/>
    <w:pPr>
      <w:ind w:left="720" w:hanging="360"/>
      <w:contextualSpacing/>
    </w:pPr>
  </w:style>
  <w:style w:type="paragraph" w:styleId="Liste3">
    <w:name w:val="List 3"/>
    <w:basedOn w:val="Standard"/>
    <w:uiPriority w:val="99"/>
    <w:unhideWhenUsed/>
    <w:pPr>
      <w:ind w:left="1080" w:hanging="360"/>
      <w:contextualSpacing/>
    </w:pPr>
  </w:style>
  <w:style w:type="paragraph" w:styleId="Aufzhlungszeichen">
    <w:name w:val="List Bullet"/>
    <w:basedOn w:val="Standard"/>
    <w:uiPriority w:val="99"/>
    <w:unhideWhenUsed/>
    <w:pPr>
      <w:numPr>
        <w:numId w:val="1"/>
      </w:numPr>
      <w:contextualSpacing/>
    </w:pPr>
  </w:style>
  <w:style w:type="paragraph" w:styleId="Aufzhlungszeichen2">
    <w:name w:val="List Bullet 2"/>
    <w:basedOn w:val="Standard"/>
    <w:uiPriority w:val="99"/>
    <w:unhideWhenUsed/>
    <w:pPr>
      <w:numPr>
        <w:numId w:val="2"/>
      </w:numPr>
      <w:contextualSpacing/>
    </w:pPr>
  </w:style>
  <w:style w:type="paragraph" w:styleId="Aufzhlungszeichen3">
    <w:name w:val="List Bullet 3"/>
    <w:basedOn w:val="Standard"/>
    <w:uiPriority w:val="99"/>
    <w:unhideWhenUsed/>
    <w:pPr>
      <w:numPr>
        <w:numId w:val="3"/>
      </w:numPr>
      <w:contextualSpacing/>
    </w:pPr>
  </w:style>
  <w:style w:type="paragraph" w:styleId="Listennummer">
    <w:name w:val="List Number"/>
    <w:basedOn w:val="Standard"/>
    <w:uiPriority w:val="99"/>
    <w:unhideWhenUsed/>
    <w:pPr>
      <w:numPr>
        <w:numId w:val="5"/>
      </w:numPr>
      <w:contextualSpacing/>
    </w:pPr>
  </w:style>
  <w:style w:type="paragraph" w:styleId="Listennummer2">
    <w:name w:val="List Number 2"/>
    <w:basedOn w:val="Standard"/>
    <w:uiPriority w:val="99"/>
    <w:unhideWhenUsed/>
    <w:pPr>
      <w:numPr>
        <w:numId w:val="6"/>
      </w:numPr>
      <w:contextualSpacing/>
    </w:pPr>
  </w:style>
  <w:style w:type="paragraph" w:styleId="Listennummer3">
    <w:name w:val="List Number 3"/>
    <w:basedOn w:val="Standard"/>
    <w:uiPriority w:val="99"/>
    <w:unhideWhenUsed/>
    <w:pPr>
      <w:numPr>
        <w:numId w:val="7"/>
      </w:numPr>
      <w:contextualSpacing/>
    </w:pPr>
  </w:style>
  <w:style w:type="paragraph" w:styleId="Listenfortsetzung">
    <w:name w:val="List Continue"/>
    <w:basedOn w:val="Standard"/>
    <w:uiPriority w:val="99"/>
    <w:unhideWhenUsed/>
    <w:pPr>
      <w:spacing w:after="120"/>
      <w:ind w:left="360"/>
      <w:contextualSpacing/>
    </w:pPr>
  </w:style>
  <w:style w:type="paragraph" w:styleId="Listenfortsetzung2">
    <w:name w:val="List Continue 2"/>
    <w:basedOn w:val="Standard"/>
    <w:uiPriority w:val="99"/>
    <w:unhideWhenUsed/>
    <w:pPr>
      <w:spacing w:after="120"/>
      <w:ind w:left="720"/>
      <w:contextualSpacing/>
    </w:pPr>
  </w:style>
  <w:style w:type="paragraph" w:styleId="Listenfortsetzung3">
    <w:name w:val="List Continue 3"/>
    <w:basedOn w:val="Standard"/>
    <w:uiPriority w:val="99"/>
    <w:unhideWhenUsed/>
    <w:pPr>
      <w:spacing w:after="120"/>
      <w:ind w:left="1080"/>
      <w:contextualSpacing/>
    </w:pPr>
  </w:style>
  <w:style w:type="paragraph" w:styleId="Makrotext">
    <w:name w:val="macro"/>
    <w:link w:val="MakrotextZchn"/>
    <w:uiPriority w:val="99"/>
    <w:unhideWhenUse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Pr>
      <w:rFonts w:ascii="Courier" w:hAnsi="Courier"/>
      <w:sz w:val="20"/>
      <w:szCs w:val="20"/>
    </w:rPr>
  </w:style>
  <w:style w:type="paragraph" w:styleId="Zitat">
    <w:name w:val="Quote"/>
    <w:basedOn w:val="Standard"/>
    <w:next w:val="Standard"/>
    <w:link w:val="ZitatZchn"/>
    <w:uiPriority w:val="29"/>
    <w:qFormat/>
    <w:rPr>
      <w:i/>
      <w:iCs/>
      <w:color w:val="000000" w:themeColor="text1"/>
    </w:rPr>
  </w:style>
  <w:style w:type="character" w:customStyle="1" w:styleId="ZitatZchn">
    <w:name w:val="Zitat Zchn"/>
    <w:basedOn w:val="Absatz-Standardschriftart"/>
    <w:link w:val="Zitat"/>
    <w:uiPriority w:val="29"/>
    <w:rPr>
      <w:i/>
      <w:iCs/>
      <w:color w:val="000000" w:themeColor="text1"/>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pPr>
      <w:spacing w:line="240" w:lineRule="auto"/>
    </w:pPr>
    <w:rPr>
      <w:b/>
      <w:bCs/>
      <w:color w:val="4F81BD" w:themeColor="accent1"/>
      <w:sz w:val="18"/>
      <w:szCs w:val="18"/>
    </w:rPr>
  </w:style>
  <w:style w:type="character" w:styleId="Fett">
    <w:name w:val="Strong"/>
    <w:basedOn w:val="Absatz-Standardschriftart"/>
    <w:uiPriority w:val="22"/>
    <w:qFormat/>
    <w:rPr>
      <w:b/>
      <w:bCs/>
    </w:rPr>
  </w:style>
  <w:style w:type="character" w:styleId="Hervorhebung">
    <w:name w:val="Emphasis"/>
    <w:basedOn w:val="Absatz-Standardschriftart"/>
    <w:uiPriority w:val="20"/>
    <w:qFormat/>
    <w:rPr>
      <w:i/>
      <w:iCs/>
    </w:rPr>
  </w:style>
  <w:style w:type="paragraph" w:styleId="IntensivesZitat">
    <w:name w:val="Intense Quote"/>
    <w:basedOn w:val="Standard"/>
    <w:next w:val="Standard"/>
    <w:link w:val="IntensivesZitatZchn"/>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Pr>
      <w:b/>
      <w:bCs/>
      <w:i/>
      <w:iCs/>
      <w:color w:val="4F81BD" w:themeColor="accent1"/>
    </w:rPr>
  </w:style>
  <w:style w:type="character" w:styleId="SchwacheHervorhebung">
    <w:name w:val="Subtle Emphasis"/>
    <w:basedOn w:val="Absatz-Standardschriftart"/>
    <w:uiPriority w:val="19"/>
    <w:qFormat/>
    <w:rPr>
      <w:i/>
      <w:iCs/>
      <w:color w:val="808080" w:themeColor="text1" w:themeTint="7F"/>
    </w:rPr>
  </w:style>
  <w:style w:type="character" w:styleId="IntensiveHervorhebung">
    <w:name w:val="Intense Emphasis"/>
    <w:basedOn w:val="Absatz-Standardschriftart"/>
    <w:uiPriority w:val="21"/>
    <w:qFormat/>
    <w:rPr>
      <w:b/>
      <w:bCs/>
      <w:i/>
      <w:iCs/>
      <w:color w:val="4F81BD" w:themeColor="accent1"/>
    </w:rPr>
  </w:style>
  <w:style w:type="character" w:styleId="SchwacherVerweis">
    <w:name w:val="Subtle Reference"/>
    <w:basedOn w:val="Absatz-Standardschriftart"/>
    <w:uiPriority w:val="31"/>
    <w:qFormat/>
    <w:rPr>
      <w:smallCaps/>
      <w:color w:val="C0504D" w:themeColor="accent2"/>
      <w:u w:val="single"/>
    </w:rPr>
  </w:style>
  <w:style w:type="character" w:styleId="IntensiverVerweis">
    <w:name w:val="Intense Reference"/>
    <w:basedOn w:val="Absatz-Standardschriftart"/>
    <w:uiPriority w:val="32"/>
    <w:qFormat/>
    <w:rPr>
      <w:b/>
      <w:bCs/>
      <w:smallCaps/>
      <w:color w:val="C0504D" w:themeColor="accent2"/>
      <w:spacing w:val="5"/>
      <w:u w:val="single"/>
    </w:rPr>
  </w:style>
  <w:style w:type="character" w:styleId="Buchtitel">
    <w:name w:val="Book Title"/>
    <w:basedOn w:val="Absatz-Standardschriftart"/>
    <w:uiPriority w:val="33"/>
    <w:qFormat/>
    <w:rPr>
      <w:b/>
      <w:bCs/>
      <w:smallCaps/>
      <w:spacing w:val="5"/>
    </w:rPr>
  </w:style>
  <w:style w:type="paragraph" w:styleId="Inhaltsverzeichnisberschrift">
    <w:name w:val="TOC Heading"/>
    <w:basedOn w:val="berschrift1"/>
    <w:next w:val="Standard"/>
    <w:uiPriority w:val="39"/>
    <w:semiHidden/>
    <w:unhideWhenUsed/>
    <w:qFormat/>
    <w:pPr>
      <w:outlineLvl w:val="9"/>
    </w:p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Cs w:val="20"/>
    </w:rPr>
  </w:style>
  <w:style w:type="character" w:customStyle="1" w:styleId="KommentartextZchn">
    <w:name w:val="Kommentartext Zchn"/>
    <w:basedOn w:val="Absatz-Standardschriftart"/>
    <w:link w:val="Kommentartext"/>
    <w:uiPriority w:val="99"/>
    <w:rPr>
      <w:rFonts w:ascii="Aptos" w:hAnsi="Aptos"/>
      <w:color w:val="20262B"/>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ptos" w:hAnsi="Aptos"/>
      <w:b/>
      <w:bCs/>
      <w:color w:val="20262B"/>
      <w:sz w:val="20"/>
      <w:szCs w:val="20"/>
    </w:rPr>
  </w:style>
  <w:style w:type="paragraph" w:styleId="berarbeitung">
    <w:name w:val="Revision"/>
    <w:hidden/>
    <w:uiPriority w:val="99"/>
    <w:semiHidden/>
    <w:pPr>
      <w:spacing w:after="0" w:line="240" w:lineRule="auto"/>
    </w:pPr>
    <w:rPr>
      <w:rFonts w:ascii="Aptos" w:hAnsi="Aptos"/>
      <w:color w:val="20262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4077</Words>
  <Characters>25689</Characters>
  <Application>Microsoft Office Word</Application>
  <DocSecurity>0</DocSecurity>
  <Lines>214</Lines>
  <Paragraphs>59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02 Leistungsbeschreibung und Vertragsbedingungen</vt:lpstr>
      <vt:lpstr/>
    </vt:vector>
  </TitlesOfParts>
  <Manager/>
  <Company/>
  <LinksUpToDate>false</LinksUpToDate>
  <CharactersWithSpaces>29707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 Leistungsbeschreibung und Vertragsbedingungen</dc:title>
  <dc:subject>Ausschreibung Interimsbüro Mühlacker</dc:subject>
  <dc:creator>RKH Enzkreis-Kliniken gGmbH</dc:creator>
  <cp:keywords>Ausschreibung, Modulbau, Containeranlage, Mühlacker</cp:keywords>
  <dc:description>generated by python-docx</dc:description>
  <cp:lastModifiedBy>Bunzel, Fabian</cp:lastModifiedBy>
  <cp:revision>6</cp:revision>
  <dcterms:created xsi:type="dcterms:W3CDTF">2026-07-30T08:20:00Z</dcterms:created>
  <dcterms:modified xsi:type="dcterms:W3CDTF">2026-07-30T11:03:00Z</dcterms:modified>
  <cp:category/>
</cp:coreProperties>
</file>