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right"/>
      </w:pPr>
      <w:r>
        <w:rPr>
          <w:rFonts w:ascii="Arial" w:hAnsi="Arial"/>
          <w:b/>
          <w:color w:val="1F4E78"/>
          <w:sz w:val="16"/>
        </w:rPr>
        <w:t>Emilia Seniorenresidenz GmbH</w:t>
      </w:r>
    </w:p>
    <w:p>
      <w:pPr>
        <w:pStyle w:val="Title"/>
      </w:pPr>
      <w:r>
        <w:rPr/>
        <w:t>4.02 Vereinbarung zur Auftragsverarbeitung</w:t>
      </w:r>
    </w:p>
    <w:p>
      <w:r>
        <w:rPr>
          <w:b/>
          <w:color w:val="1F4E78"/>
        </w:rPr>
        <w:t>IT-Carve-out und Aufbau einer eigenständigen IT-Umgebung – Emilia Seniorenresidenz</w:t>
      </w:r>
    </w:p>
    <w:p/>
    <w:tbl>
      <w:tblPr>
        <w:tblStyle w:val="TableGrid"/>
        <w:tblW w:type="auto" w:w="0"/>
        <w:tblLook w:firstColumn="1" w:firstRow="1" w:lastColumn="0" w:lastRow="0" w:noHBand="0" w:noVBand="1" w:val="04A0"/>
      </w:tblPr>
      <w:tblGrid>
        <w:gridCol w:w="4933"/>
        <w:gridCol w:w="4933"/>
      </w:tblGrid>
      <w:tr>
        <w:trPr>
          <w:tblHeader w:val="true"/>
          <w:cantSplit/>
        </w:trPr>
        <w:tc>
          <w:tcPr>
            <w:tcW w:type="dxa" w:w="4933"/>
            <w:shd w:fill="1F4E78"/>
            <w:vAlign w:val="center"/>
            <w:tcMar>
              <w:top w:w="90" w:type="dxa"/>
              <w:start w:w="90" w:type="dxa"/>
              <w:bottom w:w="90" w:type="dxa"/>
              <w:end w:w="90" w:type="dxa"/>
            </w:tcMar>
          </w:tcPr>
          <w:p>
            <w:r>
              <w:rPr>
                <w:rFonts w:ascii="Arial" w:hAnsi="Arial"/>
                <w:b/>
                <w:color w:val="FFFFFF"/>
                <w:sz w:val="17"/>
              </w:rPr>
              <w:t>Merkmal</w:t>
            </w:r>
          </w:p>
        </w:tc>
        <w:tc>
          <w:tcPr>
            <w:tcW w:type="dxa" w:w="4933"/>
            <w:shd w:fill="1F4E78"/>
            <w:vAlign w:val="center"/>
            <w:tcMar>
              <w:top w:w="90" w:type="dxa"/>
              <w:start w:w="90" w:type="dxa"/>
              <w:bottom w:w="90" w:type="dxa"/>
              <w:end w:w="90" w:type="dxa"/>
            </w:tcMar>
          </w:tcPr>
          <w:p>
            <w:r>
              <w:rPr>
                <w:rFonts w:ascii="Arial" w:hAnsi="Arial"/>
                <w:b/>
                <w:color w:val="FFFFFF"/>
                <w:sz w:val="17"/>
              </w:rPr>
              <w:t>Angabe</w:t>
            </w:r>
          </w:p>
        </w:tc>
      </w:tr>
      <w:tr>
        <w:trPr>
          <w:cantSplit/>
        </w:trPr>
        <w:tc>
          <w:tcPr>
            <w:tcW w:type="dxa" w:w="4933"/>
            <w:vAlign w:val="center"/>
            <w:tcMar>
              <w:top w:w="90" w:type="dxa"/>
              <w:start w:w="90" w:type="dxa"/>
              <w:bottom w:w="90" w:type="dxa"/>
              <w:end w:w="90" w:type="dxa"/>
            </w:tcMar>
          </w:tcPr>
          <w:p>
            <w:r>
              <w:rPr>
                <w:rFonts w:ascii="Arial" w:hAnsi="Arial"/>
                <w:sz w:val="17"/>
              </w:rPr>
              <w:t>Vergabeverfahren</w:t>
            </w:r>
          </w:p>
        </w:tc>
        <w:tc>
          <w:tcPr>
            <w:tcW w:type="dxa" w:w="4933"/>
            <w:vAlign w:val="center"/>
            <w:tcMar>
              <w:top w:w="90" w:type="dxa"/>
              <w:start w:w="90" w:type="dxa"/>
              <w:bottom w:w="90" w:type="dxa"/>
              <w:end w:w="90" w:type="dxa"/>
            </w:tcMar>
          </w:tcPr>
          <w:p>
            <w:r>
              <w:rPr>
                <w:rFonts w:ascii="Arial" w:hAnsi="Arial"/>
                <w:sz w:val="17"/>
              </w:rPr>
              <w:t>IT-Carve-out und Aufbau einer eigenständigen IT-Umgebung – Emilia Seniorenresidenz</w:t>
            </w:r>
          </w:p>
        </w:tc>
      </w:tr>
      <w:tr>
        <w:trPr>
          <w:cantSplit/>
        </w:trPr>
        <w:tc>
          <w:tcPr>
            <w:tcW w:type="dxa" w:w="4933"/>
            <w:vAlign w:val="center"/>
            <w:tcMar>
              <w:top w:w="90" w:type="dxa"/>
              <w:start w:w="90" w:type="dxa"/>
              <w:bottom w:w="90" w:type="dxa"/>
              <w:end w:w="90" w:type="dxa"/>
            </w:tcMar>
          </w:tcPr>
          <w:p>
            <w:r>
              <w:rPr>
                <w:rFonts w:ascii="Arial" w:hAnsi="Arial"/>
                <w:sz w:val="17"/>
              </w:rPr>
              <w:t>Verfahrensart</w:t>
            </w:r>
          </w:p>
        </w:tc>
        <w:tc>
          <w:tcPr>
            <w:tcW w:type="dxa" w:w="4933"/>
            <w:vAlign w:val="center"/>
            <w:tcMar>
              <w:top w:w="90" w:type="dxa"/>
              <w:start w:w="90" w:type="dxa"/>
              <w:bottom w:w="90" w:type="dxa"/>
              <w:end w:w="90" w:type="dxa"/>
            </w:tcMar>
          </w:tcPr>
          <w:p>
            <w:r>
              <w:rPr>
                <w:rFonts w:ascii="Arial" w:hAnsi="Arial"/>
                <w:sz w:val="17"/>
              </w:rPr>
              <w:t>EU-weites offenes Verfahren nach VgV</w:t>
            </w:r>
          </w:p>
        </w:tc>
      </w:tr>
      <w:tr>
        <w:trPr>
          <w:cantSplit/>
        </w:trPr>
        <w:tc>
          <w:tcPr>
            <w:tcW w:type="dxa" w:w="4933"/>
            <w:vAlign w:val="center"/>
            <w:tcMar>
              <w:top w:w="90" w:type="dxa"/>
              <w:start w:w="90" w:type="dxa"/>
              <w:bottom w:w="90" w:type="dxa"/>
              <w:end w:w="90" w:type="dxa"/>
            </w:tcMar>
          </w:tcPr>
          <w:p>
            <w:r>
              <w:rPr>
                <w:rFonts w:ascii="Arial" w:hAnsi="Arial"/>
                <w:sz w:val="17"/>
              </w:rPr>
              <w:t>Vergabenummer</w:t>
            </w:r>
          </w:p>
        </w:tc>
        <w:tc>
          <w:tcPr>
            <w:tcW w:type="dxa" w:w="4933"/>
            <w:vAlign w:val="center"/>
            <w:tcMar>
              <w:top w:w="90" w:type="dxa"/>
              <w:start w:w="90" w:type="dxa"/>
              <w:bottom w:w="90" w:type="dxa"/>
              <w:end w:w="90" w:type="dxa"/>
            </w:tcMar>
          </w:tcPr>
          <w:p>
            <w:r>
              <w:rPr>
                <w:rFonts w:ascii="Arial" w:hAnsi="Arial"/>
                <w:sz w:val="17"/>
              </w:rPr>
              <w:t>ESR-2026-0001</w:t>
            </w:r>
          </w:p>
        </w:tc>
      </w:tr>
      <w:tr>
        <w:trPr>
          <w:cantSplit/>
        </w:trPr>
        <w:tc>
          <w:tcPr>
            <w:tcW w:type="dxa" w:w="4933"/>
            <w:vAlign w:val="center"/>
            <w:tcMar>
              <w:top w:w="90" w:type="dxa"/>
              <w:start w:w="90" w:type="dxa"/>
              <w:bottom w:w="90" w:type="dxa"/>
              <w:end w:w="90" w:type="dxa"/>
            </w:tcMar>
          </w:tcPr>
          <w:p>
            <w:r>
              <w:rPr>
                <w:rFonts w:ascii="Arial" w:hAnsi="Arial"/>
                <w:sz w:val="17"/>
              </w:rPr>
              <w:t>Auftraggeber</w:t>
            </w:r>
          </w:p>
        </w:tc>
        <w:tc>
          <w:tcPr>
            <w:tcW w:type="dxa" w:w="4933"/>
            <w:vAlign w:val="center"/>
            <w:tcMar>
              <w:top w:w="90" w:type="dxa"/>
              <w:start w:w="90" w:type="dxa"/>
              <w:bottom w:w="90" w:type="dxa"/>
              <w:end w:w="90" w:type="dxa"/>
            </w:tcMar>
          </w:tcPr>
          <w:p>
            <w:r>
              <w:rPr>
                <w:rFonts w:ascii="Arial" w:hAnsi="Arial"/>
                <w:sz w:val="17"/>
              </w:rPr>
              <w:t>Emilia Seniorenresidenz GmbH</w:t>
            </w:r>
          </w:p>
        </w:tc>
      </w:tr>
      <w:tr>
        <w:trPr>
          <w:cantSplit/>
        </w:trPr>
        <w:tc>
          <w:tcPr>
            <w:tcW w:type="dxa" w:w="4933"/>
            <w:vAlign w:val="center"/>
            <w:tcMar>
              <w:top w:w="90" w:type="dxa"/>
              <w:start w:w="90" w:type="dxa"/>
              <w:bottom w:w="90" w:type="dxa"/>
              <w:end w:w="90" w:type="dxa"/>
            </w:tcMar>
          </w:tcPr>
          <w:p>
            <w:r>
              <w:rPr>
                <w:rFonts w:ascii="Arial" w:hAnsi="Arial"/>
                <w:sz w:val="17"/>
              </w:rPr>
              <w:t>Stand</w:t>
            </w:r>
          </w:p>
        </w:tc>
        <w:tc>
          <w:tcPr>
            <w:tcW w:type="dxa" w:w="4933"/>
            <w:vAlign w:val="center"/>
            <w:tcMar>
              <w:top w:w="90" w:type="dxa"/>
              <w:start w:w="90" w:type="dxa"/>
              <w:bottom w:w="90" w:type="dxa"/>
              <w:end w:w="90" w:type="dxa"/>
            </w:tcMar>
          </w:tcPr>
          <w:p>
            <w:r>
              <w:rPr>
                <w:rFonts w:ascii="Arial" w:hAnsi="Arial"/>
                <w:sz w:val="17"/>
              </w:rPr>
              <w:t>30.09.2026</w:t>
            </w:r>
          </w:p>
        </w:tc>
      </w:tr>
    </w:tbl>
    <w:p/>
    <w:p>
      <w:r>
        <w:rPr/>
        <w:t>Diese Vereinbarung regelt die Auftragsverarbeitung des künftigen Auftragnehmers. Der Bieter gibt Verarbeitungsorte, eingesetzte Unterauftragsverarbeiter, Lösch-/Rückgabeverfahren und Datenschutzkontakt mit dem Angebot in 4.03 an. Diese Angaben und die angebotenen TOM werden vor Vertragsschluss in die Anlagen übernommen; persönliche Ansprechpartner werden erst dann ergänzt.</w:t>
      </w:r>
      <w:r>
        <w:rPr>
          <w:rStyle w:val="CommentReference"/>
        </w:rPr>
      </w:r>
    </w:p>
    <w:p>
      <w:pPr>
        <w:pStyle w:val="Heading1"/>
      </w:pPr>
      <w:r>
        <w:rPr/>
        <w:t>1. Parteien und Gegenstand</w:t>
      </w:r>
    </w:p>
    <w:p>
      <w:r>
        <w:rPr/>
        <w:t>Auftraggeber/Verantwortlicher: Emilia Seniorenresidenz GmbH. Auftragnehmer/Auftragsverarbeiter: [nach Zuschlag]. Gegenstand ist die Verarbeitung personenbezogener Daten im Zusammenhang mit Migration, Administration, Betrieb, Wartung, Support, Backup und Security-Leistungen, soweit der Auftragnehmer hierbei im Auftrag handelt.</w:t>
      </w:r>
    </w:p>
    <w:p>
      <w:pPr>
        <w:pStyle w:val="Heading1"/>
      </w:pPr>
      <w:r>
        <w:rPr/>
        <w:t>2. Dauer</w:t>
      </w:r>
    </w:p>
    <w:p>
      <w:r>
        <w:rPr/>
        <w:t>Die Dauer richtet sich nach dem Hauptvertrag einschließlich Übergangs-, Lösch- und Rückgabepflichten nach Vertragsende.</w:t>
      </w:r>
    </w:p>
    <w:p>
      <w:pPr>
        <w:pStyle w:val="Heading1"/>
      </w:pPr>
      <w:r>
        <w:rPr/>
        <w:t>3. Art und Zweck der Verarbeitung</w:t>
      </w:r>
    </w:p>
    <w:p>
      <w:r>
        <w:rPr/>
        <w:t>Bereitstellung und Betrieb der IT-Umgebung, Migration, Fehleranalyse, Wartung, Support, Datensicherung/Wiederherstellung, Monitoring und Security. Eine Verarbeitung zu eigenen Zwecken ist ausgeschlossen, soweit keine gesonderte Rechtsgrundlage besteht.</w:t>
      </w:r>
    </w:p>
    <w:p>
      <w:pPr>
        <w:pStyle w:val="Heading1"/>
      </w:pPr>
      <w:r>
        <w:rPr/>
        <w:t>4. Datenarten und betroffene Personen</w:t>
      </w:r>
    </w:p>
    <w:p>
      <w:r>
        <w:rPr/>
        <w:t>Insbesondere Stammdaten, Kommunikationsdaten, Beschäftigtendaten, Bewohner-/Patienten-/Pflegedaten, Protokoll-/Nutzungsdaten sowie besondere Kategorien personenbezogener Daten nach Art. 9 DSGVO, soweit im jeweiligen System vorhanden. Betroffene können Bewohner, Beschäftigte, Angehörige, Dienstleister und sonstige Kommunikationspartner sein.</w:t>
      </w:r>
    </w:p>
    <w:p>
      <w:pPr>
        <w:pStyle w:val="Heading1"/>
      </w:pPr>
      <w:r>
        <w:rPr/>
        <w:t>5. Weisungsbindung</w:t>
      </w:r>
    </w:p>
    <w:p>
      <w:r>
        <w:rPr/>
        <w:t>Verarbeitung ausschließlich auf dokumentierte Weisung des Auftraggebers. Hält der Auftragnehmer eine Weisung für datenschutzrechtswidrig, informiert er den Auftraggeber unverzüglich.</w:t>
      </w:r>
    </w:p>
    <w:p>
      <w:pPr>
        <w:pStyle w:val="Heading1"/>
      </w:pPr>
      <w:r>
        <w:rPr/>
        <w:t>6. Vertraulichkeit</w:t>
      </w:r>
    </w:p>
    <w:p>
      <w:r>
        <w:rPr/>
        <w:t>Nur befugte und angemessen verpflichtete Personen erhalten Zugriff. Berechtigungen werden auf das erforderliche Minimum beschränkt.</w:t>
      </w:r>
    </w:p>
    <w:p>
      <w:pPr>
        <w:pStyle w:val="Heading1"/>
      </w:pPr>
      <w:r>
        <w:rPr/>
        <w:t>7. Technische und organisatorische Maßnahmen</w:t>
      </w:r>
    </w:p>
    <w:p>
      <w:r>
        <w:rPr/>
        <w:t>Die TOM gemäß Anlage werden verbindlicher Vertragsbestandteil. Änderungen sind zulässig, wenn das vereinbarte Schutzniveau nicht unterschritten wird.</w:t>
      </w:r>
    </w:p>
    <w:p>
      <w:pPr>
        <w:pStyle w:val="Heading1"/>
      </w:pPr>
      <w:r>
        <w:rPr/>
        <w:t>8. Unterauftragsverarbeiter</w:t>
      </w:r>
    </w:p>
    <w:p>
      <w:r>
        <w:rPr/>
        <w:t>Die bei Angebotsabgabe in 4.03 bezeichneten Unterauftragsverarbeiter bedürfen vor Einsatz der dokumentierten spezifischen Genehmigung durch die Auftraggeberin. Weitere oder geänderte Unterauftragsverarbeiter sind vorab mit Leistungen und Verarbeitungsorten anzuzeigen und dürfen erst nach Genehmigung eingesetzt werden. Der Auftragnehmer verpflichtet sie zu mindestens gleichwertigen Datenschutzpflichten und bleibt für ihre Leistung verantwortlich.</w:t>
      </w:r>
    </w:p>
    <w:p>
      <w:pPr>
        <w:pStyle w:val="Heading1"/>
      </w:pPr>
      <w:r>
        <w:rPr/>
        <w:t>9. Drittlandübermittlungen</w:t>
      </w:r>
    </w:p>
    <w:p>
      <w:r>
        <w:rPr/>
        <w:t>Übermittlungen außerhalb EU/EWR nur bei Vorliegen der gesetzlichen Voraussetzungen und nach vorheriger Information/Genehmigung gemäß Vertragsregelung.</w:t>
      </w:r>
    </w:p>
    <w:p>
      <w:pPr>
        <w:pStyle w:val="Heading1"/>
      </w:pPr>
      <w:r>
        <w:rPr/>
        <w:t>10. Unterstützungspflichten</w:t>
      </w:r>
    </w:p>
    <w:p>
      <w:r>
        <w:rPr/>
        <w:t>Der Auftragnehmer unterstützt den Auftraggeber insbesondere bei Betroffenenrechten, Sicherheitsvorfällen, Datenschutz-Folgenabschätzungen, Prüfungen und Nachweispflichten.</w:t>
      </w:r>
    </w:p>
    <w:p>
      <w:pPr>
        <w:pStyle w:val="Heading1"/>
      </w:pPr>
      <w:r>
        <w:rPr/>
        <w:t>11. Sicherheitsverletzungen</w:t>
      </w:r>
    </w:p>
    <w:p>
      <w:r>
        <w:rPr/>
        <w:t>Datenschutz- und Informationssicherheitsvorfälle mit möglichem Bezug zu personenbezogenen Daten sind unverzüglich über die vereinbarten Meldewege mitzuteilen; erforderliche Informationen werden fortlaufend ergänzt.</w:t>
      </w:r>
    </w:p>
    <w:p>
      <w:pPr>
        <w:pStyle w:val="Heading1"/>
      </w:pPr>
      <w:r>
        <w:rPr/>
        <w:t>12. Nachweise und Kontrollen</w:t>
      </w:r>
    </w:p>
    <w:p>
      <w:r>
        <w:rPr/>
        <w:t>Der Auftragnehmer stellt geeignete Nachweise zur Einhaltung der Pflichten bereit und ermöglicht angemessene Kontrollen/Audits nach den vereinbarten Bedingungen.</w:t>
      </w:r>
    </w:p>
    <w:p>
      <w:pPr>
        <w:pStyle w:val="Heading1"/>
      </w:pPr>
      <w:r>
        <w:rPr/>
        <w:t>13. Rückgabe und Löschung</w:t>
      </w:r>
    </w:p>
    <w:p>
      <w:r>
        <w:rPr/>
        <w:t>Nach Ende der Auftragsverarbeitung werden personenbezogene Daten nach Weisung zurückgegeben oder datenschutzgerecht gelöscht, sofern keine gesetzliche Aufbewahrungspflicht entgegensteht. Löschung wird auf Verlangen bestätigt.</w:t>
      </w:r>
    </w:p>
    <w:p>
      <w:pPr>
        <w:pStyle w:val="Heading1"/>
      </w:pPr>
      <w:r>
        <w:rPr/>
        <w:t>14. Rangfolge</w:t>
      </w:r>
    </w:p>
    <w:p>
      <w:r>
        <w:rPr/>
        <w:t>Bei Widersprüchen zu Datenschutzfragen geht diese AVV den allgemeinen Regelungen des Hauptvertrags vor.</w:t>
      </w:r>
    </w:p>
    <w:p>
      <w:pPr>
        <w:pStyle w:val="Heading1"/>
        <w:pageBreakBefore/>
      </w:pPr>
      <w:r>
        <w:rPr/>
        <w:t>Anlage 1 – Beschreibung der Verarbeitung</w:t>
      </w:r>
    </w:p>
    <w:tbl>
      <w:tblPr>
        <w:tblStyle w:val="TableGrid"/>
        <w:tblW w:type="auto" w:w="0"/>
        <w:tblLook w:firstColumn="1" w:firstRow="1" w:lastColumn="0" w:lastRow="0" w:noHBand="0" w:noVBand="1" w:val="04A0"/>
      </w:tblPr>
      <w:tblGrid>
        <w:gridCol w:w="4933"/>
        <w:gridCol w:w="4933"/>
      </w:tblGrid>
      <w:tr>
        <w:trPr>
          <w:tblHeader w:val="true"/>
          <w:cantSplit/>
        </w:trPr>
        <w:tc>
          <w:tcPr>
            <w:tcW w:type="dxa" w:w="4933"/>
            <w:shd w:fill="1F4E78"/>
            <w:vAlign w:val="center"/>
            <w:tcMar>
              <w:top w:w="90" w:type="dxa"/>
              <w:start w:w="90" w:type="dxa"/>
              <w:bottom w:w="90" w:type="dxa"/>
              <w:end w:w="90" w:type="dxa"/>
            </w:tcMar>
          </w:tcPr>
          <w:p>
            <w:r>
              <w:rPr>
                <w:rFonts w:ascii="Arial" w:hAnsi="Arial"/>
                <w:b/>
                <w:color w:val="FFFFFF"/>
                <w:sz w:val="17"/>
              </w:rPr>
              <w:t>Merkmal</w:t>
            </w:r>
          </w:p>
        </w:tc>
        <w:tc>
          <w:tcPr>
            <w:tcW w:type="dxa" w:w="4933"/>
            <w:shd w:fill="1F4E78"/>
            <w:vAlign w:val="center"/>
            <w:tcMar>
              <w:top w:w="90" w:type="dxa"/>
              <w:start w:w="90" w:type="dxa"/>
              <w:bottom w:w="90" w:type="dxa"/>
              <w:end w:w="90" w:type="dxa"/>
            </w:tcMar>
          </w:tcPr>
          <w:p>
            <w:r>
              <w:rPr>
                <w:rFonts w:ascii="Arial" w:hAnsi="Arial"/>
                <w:b/>
                <w:color w:val="FFFFFF"/>
                <w:sz w:val="17"/>
              </w:rPr>
              <w:t>Angabe</w:t>
            </w:r>
          </w:p>
        </w:tc>
      </w:tr>
      <w:tr>
        <w:trPr>
          <w:cantSplit/>
        </w:trPr>
        <w:tc>
          <w:tcPr>
            <w:tcW w:type="dxa" w:w="4933"/>
            <w:vAlign w:val="center"/>
            <w:tcMar>
              <w:top w:w="90" w:type="dxa"/>
              <w:start w:w="90" w:type="dxa"/>
              <w:bottom w:w="90" w:type="dxa"/>
              <w:end w:w="90" w:type="dxa"/>
            </w:tcMar>
          </w:tcPr>
          <w:p>
            <w:r>
              <w:rPr>
                <w:rFonts w:ascii="Arial" w:hAnsi="Arial"/>
                <w:sz w:val="17"/>
              </w:rPr>
              <w:t>Systeme/Services</w:t>
            </w:r>
          </w:p>
        </w:tc>
        <w:tc>
          <w:tcPr>
            <w:tcW w:type="dxa" w:w="4933"/>
            <w:vAlign w:val="center"/>
            <w:tcMar>
              <w:top w:w="90" w:type="dxa"/>
              <w:start w:w="90" w:type="dxa"/>
              <w:bottom w:w="90" w:type="dxa"/>
              <w:end w:w="90" w:type="dxa"/>
            </w:tcMar>
          </w:tcPr>
          <w:p>
            <w:r>
              <w:t>Standarddienste, Exchange, Datei-/Druckdienste, benannte Fachanwendungsplattformen, Migration, Administration, Wartung, Support, Backup und Security nach 3.01/3.02.</w:t>
            </w:r>
          </w:p>
        </w:tc>
      </w:tr>
      <w:tr>
        <w:trPr>
          <w:cantSplit/>
        </w:trPr>
        <w:tc>
          <w:tcPr>
            <w:tcW w:type="dxa" w:w="4933"/>
            <w:vAlign w:val="center"/>
            <w:tcMar>
              <w:top w:w="90" w:type="dxa"/>
              <w:start w:w="90" w:type="dxa"/>
              <w:bottom w:w="90" w:type="dxa"/>
              <w:end w:w="90" w:type="dxa"/>
            </w:tcMar>
          </w:tcPr>
          <w:p>
            <w:r>
              <w:rPr>
                <w:rFonts w:ascii="Arial" w:hAnsi="Arial"/>
                <w:sz w:val="17"/>
              </w:rPr>
              <w:t>Verarbeitungsorte</w:t>
            </w:r>
          </w:p>
        </w:tc>
        <w:tc>
          <w:tcPr>
            <w:tcW w:type="dxa" w:w="4933"/>
            <w:vAlign w:val="center"/>
            <w:tcMar>
              <w:top w:w="90" w:type="dxa"/>
              <w:start w:w="90" w:type="dxa"/>
              <w:bottom w:w="90" w:type="dxa"/>
              <w:end w:w="90" w:type="dxa"/>
            </w:tcMar>
          </w:tcPr>
          <w:p>
            <w:r>
              <w:t>Vom Bieter in 4.03 zu benennen; die bezuschlagten Orte werden vor Vertragsschluss verbindlich übernommen.</w:t>
            </w:r>
          </w:p>
        </w:tc>
      </w:tr>
      <w:tr>
        <w:trPr>
          <w:cantSplit/>
        </w:trPr>
        <w:tc>
          <w:tcPr>
            <w:tcW w:type="dxa" w:w="4933"/>
            <w:vAlign w:val="center"/>
            <w:tcMar>
              <w:top w:w="90" w:type="dxa"/>
              <w:start w:w="90" w:type="dxa"/>
              <w:bottom w:w="90" w:type="dxa"/>
              <w:end w:w="90" w:type="dxa"/>
            </w:tcMar>
          </w:tcPr>
          <w:p>
            <w:r>
              <w:rPr>
                <w:rFonts w:ascii="Arial" w:hAnsi="Arial"/>
                <w:sz w:val="17"/>
              </w:rPr>
              <w:t>Unterauftragnehmer</w:t>
            </w:r>
          </w:p>
        </w:tc>
        <w:tc>
          <w:tcPr>
            <w:tcW w:type="dxa" w:w="4933"/>
            <w:vAlign w:val="center"/>
            <w:tcMar>
              <w:top w:w="90" w:type="dxa"/>
              <w:start w:w="90" w:type="dxa"/>
              <w:bottom w:w="90" w:type="dxa"/>
              <w:end w:w="90" w:type="dxa"/>
            </w:tcMar>
          </w:tcPr>
          <w:p>
            <w:r>
              <w:t>Vom Bieter in 4.03 mit Tätigkeit und Ort zu benennen; Einsatz erst nach Genehmigung gemäß Ziffer 8.</w:t>
            </w:r>
          </w:p>
        </w:tc>
      </w:tr>
      <w:tr>
        <w:trPr>
          <w:cantSplit/>
        </w:trPr>
        <w:tc>
          <w:tcPr>
            <w:tcW w:type="dxa" w:w="4933"/>
            <w:vAlign w:val="center"/>
            <w:tcMar>
              <w:top w:w="90" w:type="dxa"/>
              <w:start w:w="90" w:type="dxa"/>
              <w:bottom w:w="90" w:type="dxa"/>
              <w:end w:w="90" w:type="dxa"/>
            </w:tcMar>
          </w:tcPr>
          <w:p>
            <w:r>
              <w:rPr>
                <w:rFonts w:ascii="Arial" w:hAnsi="Arial"/>
                <w:sz w:val="17"/>
              </w:rPr>
              <w:t>Löschfristen</w:t>
            </w:r>
          </w:p>
        </w:tc>
        <w:tc>
          <w:tcPr>
            <w:tcW w:type="dxa" w:w="4933"/>
            <w:vAlign w:val="center"/>
            <w:tcMar>
              <w:top w:w="90" w:type="dxa"/>
              <w:start w:w="90" w:type="dxa"/>
              <w:bottom w:w="90" w:type="dxa"/>
              <w:end w:w="90" w:type="dxa"/>
            </w:tcMar>
          </w:tcPr>
          <w:p>
            <w:r>
              <w:t>Rückgabe oder Löschung nach Vertragsende gemäß dokumentierter Weisung; Aufbewahrungs- und Backupzyklen sind vom Bieter in 4.03 anzugeben und vor Vertragsschluss festzulegen.</w:t>
            </w:r>
          </w:p>
        </w:tc>
      </w:tr>
      <w:tr>
        <w:trPr>
          <w:cantSplit/>
        </w:trPr>
        <w:tc>
          <w:tcPr>
            <w:tcW w:type="dxa" w:w="4933"/>
            <w:vAlign w:val="center"/>
            <w:tcMar>
              <w:top w:w="90" w:type="dxa"/>
              <w:start w:w="90" w:type="dxa"/>
              <w:bottom w:w="90" w:type="dxa"/>
              <w:end w:w="90" w:type="dxa"/>
            </w:tcMar>
          </w:tcPr>
          <w:p>
            <w:r>
              <w:rPr>
                <w:rFonts w:ascii="Arial" w:hAnsi="Arial"/>
                <w:sz w:val="17"/>
              </w:rPr>
              <w:t>Ansprechpartner Datenschutz</w:t>
            </w:r>
          </w:p>
        </w:tc>
        <w:tc>
          <w:tcPr>
            <w:tcW w:type="dxa" w:w="4933"/>
            <w:vAlign w:val="center"/>
            <w:tcMar>
              <w:top w:w="90" w:type="dxa"/>
              <w:start w:w="90" w:type="dxa"/>
              <w:bottom w:w="90" w:type="dxa"/>
              <w:end w:w="90" w:type="dxa"/>
            </w:tcMar>
          </w:tcPr>
          <w:p>
            <w:r>
              <w:t>Kontakt des Auftragnehmers gemäß 4.03; namentliche Ansprechpartner der Parteien vor Vertragsschluss.</w:t>
            </w:r>
          </w:p>
        </w:tc>
      </w:tr>
      <w:tr>
        <w:tc>
          <w:tcPr>
            <w:tcW w:type="dxa" w:w="4933"/>
          </w:tcPr>
          <w:p>
            <w:r>
              <w:rPr>
                <w:rFonts w:ascii="Arial" w:hAnsi="Arial"/>
                <w:sz w:val="17"/>
              </w:rPr>
              <w:t>Hauptvertrag / Leistungsgegenstand</w:t>
            </w:r>
          </w:p>
        </w:tc>
        <w:tc>
          <w:tcPr>
            <w:tcW w:type="dxa" w:w="4933"/>
          </w:tcPr>
          <w:p>
            <w:r>
              <w:rPr>
                <w:rFonts w:ascii="Arial" w:hAnsi="Arial"/>
                <w:sz w:val="17"/>
              </w:rPr>
              <w:t>IT-Carve-out, Migration, Betrieb, Wartung und Support gemäß Vergabeunterlagen</w:t>
            </w:r>
          </w:p>
        </w:tc>
      </w:tr>
      <w:tr>
        <w:tc>
          <w:tcPr>
            <w:tcW w:type="dxa" w:w="4933"/>
          </w:tcPr>
          <w:p>
            <w:r>
              <w:rPr>
                <w:rFonts w:ascii="Arial" w:hAnsi="Arial"/>
                <w:sz w:val="17"/>
              </w:rPr>
              <w:t>Weisungsberechtigte / Kommunikationskanäle</w:t>
            </w:r>
          </w:p>
        </w:tc>
        <w:tc>
          <w:tcPr>
            <w:tcW w:type="dxa" w:w="4933"/>
          </w:tcPr>
          <w:p>
            <w:r>
              <w:t>Auftraggeberseitige Projektleitung bzw. von ihr benannte Weisungsberechtigte; dokumentierte Weisungen über die im Vertrag festgelegten Kanäle.</w:t>
            </w:r>
          </w:p>
        </w:tc>
      </w:tr>
      <w:tr>
        <w:tc>
          <w:tcPr>
            <w:tcW w:type="dxa" w:w="4933"/>
          </w:tcPr>
          <w:p>
            <w:r>
              <w:rPr>
                <w:rFonts w:ascii="Arial" w:hAnsi="Arial"/>
                <w:sz w:val="17"/>
              </w:rPr>
              <w:t>Kategorien betroffener Personen</w:t>
            </w:r>
          </w:p>
        </w:tc>
        <w:tc>
          <w:tcPr>
            <w:tcW w:type="dxa" w:w="4933"/>
          </w:tcPr>
          <w:p>
            <w:r>
              <w:rPr>
                <w:rFonts w:ascii="Arial" w:hAnsi="Arial"/>
                <w:sz w:val="17"/>
              </w:rPr>
              <w:t>Bewohner, Beschäftigte, Angehörige, Dienstleister und sonstige Kommunikationspartner, soweit betroffen</w:t>
            </w:r>
          </w:p>
        </w:tc>
      </w:tr>
      <w:tr>
        <w:tc>
          <w:tcPr>
            <w:tcW w:type="dxa" w:w="4933"/>
          </w:tcPr>
          <w:p>
            <w:r>
              <w:rPr>
                <w:rFonts w:ascii="Arial" w:hAnsi="Arial"/>
                <w:sz w:val="17"/>
              </w:rPr>
              <w:t>Datenarten / besondere Kategorien</w:t>
            </w:r>
          </w:p>
        </w:tc>
        <w:tc>
          <w:tcPr>
            <w:tcW w:type="dxa" w:w="4933"/>
          </w:tcPr>
          <w:p>
            <w:r>
              <w:rPr>
                <w:rFonts w:ascii="Arial" w:hAnsi="Arial"/>
                <w:sz w:val="17"/>
              </w:rPr>
              <w:t>Stamm-, Kommunikations-, Beschäftigten-, Bewohner-/Pflege-, Nutzungs-/Protokolldaten; besondere Kategorien nach Art. 9 DSGVO, soweit systembedingt verarbeitet</w:t>
            </w:r>
          </w:p>
        </w:tc>
      </w:tr>
    </w:tbl>
    <w:p>
      <w:pPr>
        <w:pStyle w:val="Heading1"/>
      </w:pPr>
      <w:r>
        <w:rPr/>
        <w:t>Anlage 2 – TOM</w:t>
      </w:r>
    </w:p>
    <w:p>
      <w:r>
        <w:rPr/>
        <w:t>Die vom Auftragnehmer angebotenen technischen und organisatorischen Maßnahmen gemäß 4.03 werden nach Zuschlag als Vertragsanlage verbindlich festgelegt.</w:t>
      </w:r>
    </w:p>
    <w:sectPr w:rsidR="00FC693F" w:rsidRPr="0006063C" w:rsidSect="00034616">
      <w:headerReference w:type="default" r:id="rId10"/>
      <w:headerReference w:type="first" r:id="rId11"/>
      <w:headerReference w:type="even" r:id="rId12"/>
      <w:footerReference w:type="default" r:id="rId13"/>
      <w:footerReference w:type="first" r:id="rId14"/>
      <w:footerReference w:type="even" r:id="rId15"/>
      <w:pgSz w:w="11906" w:h="16838"/>
      <w:pgMar w:top="907" w:right="1020" w:bottom="907"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er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0"/>
      <w:outlineLvl w:val="0"/>
    </w:pPr>
    <w:rPr>
      <w:rFonts w:asciiTheme="majorHAnsi" w:eastAsiaTheme="majorEastAsia" w:hAnsiTheme="majorHAnsi" w:cstheme="majorBidi" w:ascii="Arial" w:hAnsi="Arial"/>
      <w:b/>
      <w:bCs/>
      <w:color w:val="1F4E78"/>
      <w:sz w:val="2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1F4E78"/>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b/>
      <w:bCs/>
      <w:color w:val="1F4E78"/>
      <w:sz w:val="2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b/>
      <w:color w:val="1F4E78"/>
      <w:spacing w:val="5"/>
      <w:kern w:val="28"/>
      <w:sz w:val="3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10" Type="http://schemas.openxmlformats.org/officeDocument/2006/relationships/header" Target="header1.xml"/><Relationship Id="rId11" Type="http://schemas.openxmlformats.org/officeDocument/2006/relationships/header" Target="header2.xml"/><Relationship Id="rId12" Type="http://schemas.openxmlformats.org/officeDocument/2006/relationships/header" Target="header3.xml"/><Relationship Id="rId13" Type="http://schemas.openxmlformats.org/officeDocument/2006/relationships/footer" Target="footer1.xml"/><Relationship Id="rId14" Type="http://schemas.openxmlformats.org/officeDocument/2006/relationships/footer" Target="footer2.xml"/><Relationship Id="rId15"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Pascal Wijasuriya</dc:creator>
  <cp:keywords/>
  <dc:description/>
  <cp:lastModifiedBy>Pascal Wijasuriya</cp:lastModifiedBy>
  <cp:revision>1</cp:revision>
  <dcterms:created xsi:type="dcterms:W3CDTF">2026-09-23T14:12:00Z</dcterms:created>
  <dcterms:modified xsi:type="dcterms:W3CDTF">2026-09-24T09:17:00Z</dcterms:modified>
  <cp:category/>
</cp:coreProperties>
</file>