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rial" w:hAnsi="Arial"/>
          <w:b/>
          <w:color w:val="1F4E78"/>
          <w:sz w:val="16"/>
        </w:rPr>
        <w:t>Emilia Seniorenresidenz GmbH</w:t>
      </w:r>
    </w:p>
    <w:p>
      <w:pPr>
        <w:pStyle w:val="Title"/>
      </w:pPr>
      <w:r>
        <w:rPr/>
        <w:t>2.01 Verfahrensbedingungen / Angebotsbedingungen</w:t>
      </w:r>
    </w:p>
    <w:p>
      <w:r>
        <w:rPr>
          <w:b/>
          <w:color w:val="1F4E78"/>
        </w:rPr>
        <w:t>IT-Carve-out und Aufbau einer eigenständigen IT-Umgebung – Emilia Seniorenresidenz</w:t>
      </w:r>
    </w:p>
    <w:p/>
    <w:tbl>
      <w:tblPr>
        <w:tblStyle w:val="TableGrid"/>
        <w:tblW w:type="auto" w:w="0"/>
        <w:tblLook w:firstColumn="1" w:firstRow="1" w:lastColumn="0" w:lastRow="0" w:noHBand="0" w:noVBand="1" w:val="04A0"/>
      </w:tblPr>
      <w:tblGrid>
        <w:gridCol w:w="4933"/>
        <w:gridCol w:w="4933"/>
      </w:tblGrid>
      <w:tr>
        <w:trPr>
          <w:tblHeader w:val="true"/>
          <w:cantSplit/>
        </w:trPr>
        <w:tc>
          <w:tcPr>
            <w:tcW w:type="dxa" w:w="4933"/>
            <w:shd w:fill="1F4E78"/>
            <w:vAlign w:val="center"/>
            <w:tcMar>
              <w:top w:w="90" w:type="dxa"/>
              <w:start w:w="90" w:type="dxa"/>
              <w:bottom w:w="90" w:type="dxa"/>
              <w:end w:w="90" w:type="dxa"/>
            </w:tcMar>
          </w:tcPr>
          <w:p>
            <w:r>
              <w:rPr>
                <w:rFonts w:ascii="Arial" w:hAnsi="Arial"/>
                <w:b/>
                <w:color w:val="FFFFFF"/>
                <w:sz w:val="17"/>
              </w:rPr>
              <w:t>Merkmal</w:t>
            </w:r>
          </w:p>
        </w:tc>
        <w:tc>
          <w:tcPr>
            <w:tcW w:type="dxa" w:w="4933"/>
            <w:shd w:fill="1F4E78"/>
            <w:vAlign w:val="center"/>
            <w:tcMar>
              <w:top w:w="90" w:type="dxa"/>
              <w:start w:w="90" w:type="dxa"/>
              <w:bottom w:w="90" w:type="dxa"/>
              <w:end w:w="90" w:type="dxa"/>
            </w:tcMar>
          </w:tcPr>
          <w:p>
            <w:r>
              <w:rPr>
                <w:rFonts w:ascii="Arial" w:hAnsi="Arial"/>
                <w:b/>
                <w:color w:val="FFFFFF"/>
                <w:sz w:val="17"/>
              </w:rPr>
              <w:t>Angabe</w:t>
            </w:r>
          </w:p>
        </w:tc>
      </w:tr>
      <w:tr>
        <w:trPr>
          <w:cantSplit/>
        </w:trPr>
        <w:tc>
          <w:tcPr>
            <w:tcW w:type="dxa" w:w="4933"/>
            <w:vAlign w:val="center"/>
            <w:tcMar>
              <w:top w:w="90" w:type="dxa"/>
              <w:start w:w="90" w:type="dxa"/>
              <w:bottom w:w="90" w:type="dxa"/>
              <w:end w:w="90" w:type="dxa"/>
            </w:tcMar>
          </w:tcPr>
          <w:p>
            <w:r>
              <w:rPr>
                <w:rFonts w:ascii="Arial" w:hAnsi="Arial"/>
                <w:sz w:val="17"/>
              </w:rPr>
              <w:t>Vergabeverfahren</w:t>
            </w:r>
          </w:p>
        </w:tc>
        <w:tc>
          <w:tcPr>
            <w:tcW w:type="dxa" w:w="4933"/>
            <w:vAlign w:val="center"/>
            <w:tcMar>
              <w:top w:w="90" w:type="dxa"/>
              <w:start w:w="90" w:type="dxa"/>
              <w:bottom w:w="90" w:type="dxa"/>
              <w:end w:w="90" w:type="dxa"/>
            </w:tcMar>
          </w:tcPr>
          <w:p>
            <w:r>
              <w:rPr>
                <w:rFonts w:ascii="Arial" w:hAnsi="Arial"/>
                <w:sz w:val="17"/>
              </w:rPr>
              <w:t>IT-Carve-out und Aufbau einer eigenständigen IT-Umgebung – Emilia Seniorenresidenz</w:t>
            </w:r>
          </w:p>
        </w:tc>
      </w:tr>
      <w:tr>
        <w:trPr>
          <w:cantSplit/>
        </w:trPr>
        <w:tc>
          <w:tcPr>
            <w:tcW w:type="dxa" w:w="4933"/>
            <w:vAlign w:val="center"/>
            <w:tcMar>
              <w:top w:w="90" w:type="dxa"/>
              <w:start w:w="90" w:type="dxa"/>
              <w:bottom w:w="90" w:type="dxa"/>
              <w:end w:w="90" w:type="dxa"/>
            </w:tcMar>
          </w:tcPr>
          <w:p>
            <w:r>
              <w:rPr>
                <w:rFonts w:ascii="Arial" w:hAnsi="Arial"/>
                <w:sz w:val="17"/>
              </w:rPr>
              <w:t>Verfahrensart</w:t>
            </w:r>
          </w:p>
        </w:tc>
        <w:tc>
          <w:tcPr>
            <w:tcW w:type="dxa" w:w="4933"/>
            <w:vAlign w:val="center"/>
            <w:tcMar>
              <w:top w:w="90" w:type="dxa"/>
              <w:start w:w="90" w:type="dxa"/>
              <w:bottom w:w="90" w:type="dxa"/>
              <w:end w:w="90" w:type="dxa"/>
            </w:tcMar>
          </w:tcPr>
          <w:p>
            <w:r>
              <w:rPr>
                <w:rFonts w:ascii="Arial" w:hAnsi="Arial"/>
                <w:sz w:val="17"/>
              </w:rPr>
              <w:t>EU-weites offenes Verfahren nach VgV</w:t>
            </w:r>
          </w:p>
        </w:tc>
      </w:tr>
      <w:tr>
        <w:trPr>
          <w:cantSplit/>
        </w:trPr>
        <w:tc>
          <w:tcPr>
            <w:tcW w:type="dxa" w:w="4933"/>
            <w:vAlign w:val="center"/>
            <w:tcMar>
              <w:top w:w="90" w:type="dxa"/>
              <w:start w:w="90" w:type="dxa"/>
              <w:bottom w:w="90" w:type="dxa"/>
              <w:end w:w="90" w:type="dxa"/>
            </w:tcMar>
          </w:tcPr>
          <w:p>
            <w:r>
              <w:rPr>
                <w:rFonts w:ascii="Arial" w:hAnsi="Arial"/>
                <w:sz w:val="17"/>
              </w:rPr>
              <w:t>Vergabenummer</w:t>
            </w:r>
          </w:p>
        </w:tc>
        <w:tc>
          <w:tcPr>
            <w:tcW w:type="dxa" w:w="4933"/>
            <w:vAlign w:val="center"/>
            <w:tcMar>
              <w:top w:w="90" w:type="dxa"/>
              <w:start w:w="90" w:type="dxa"/>
              <w:bottom w:w="90" w:type="dxa"/>
              <w:end w:w="90" w:type="dxa"/>
            </w:tcMar>
          </w:tcPr>
          <w:p>
            <w:r>
              <w:rPr>
                <w:rFonts w:ascii="Arial" w:hAnsi="Arial"/>
                <w:sz w:val="17"/>
              </w:rPr>
              <w:t>ESR-2026-0001</w:t>
            </w:r>
          </w:p>
        </w:tc>
      </w:tr>
      <w:tr>
        <w:trPr>
          <w:cantSplit/>
        </w:trPr>
        <w:tc>
          <w:tcPr>
            <w:tcW w:type="dxa" w:w="4933"/>
            <w:vAlign w:val="center"/>
            <w:tcMar>
              <w:top w:w="90" w:type="dxa"/>
              <w:start w:w="90" w:type="dxa"/>
              <w:bottom w:w="90" w:type="dxa"/>
              <w:end w:w="90" w:type="dxa"/>
            </w:tcMar>
          </w:tcPr>
          <w:p>
            <w:r>
              <w:rPr>
                <w:rFonts w:ascii="Arial" w:hAnsi="Arial"/>
                <w:sz w:val="17"/>
              </w:rPr>
              <w:t>Auftraggeber</w:t>
            </w:r>
          </w:p>
        </w:tc>
        <w:tc>
          <w:tcPr>
            <w:tcW w:type="dxa" w:w="4933"/>
            <w:vAlign w:val="center"/>
            <w:tcMar>
              <w:top w:w="90" w:type="dxa"/>
              <w:start w:w="90" w:type="dxa"/>
              <w:bottom w:w="90" w:type="dxa"/>
              <w:end w:w="90" w:type="dxa"/>
            </w:tcMar>
          </w:tcPr>
          <w:p>
            <w:r>
              <w:rPr>
                <w:rFonts w:ascii="Arial" w:hAnsi="Arial"/>
                <w:sz w:val="17"/>
              </w:rPr>
              <w:t>Emilia Seniorenresidenz GmbH</w:t>
            </w:r>
          </w:p>
        </w:tc>
      </w:tr>
      <w:tr>
        <w:trPr>
          <w:cantSplit/>
        </w:trPr>
        <w:tc>
          <w:tcPr>
            <w:tcW w:type="dxa" w:w="4933"/>
            <w:vAlign w:val="center"/>
            <w:tcMar>
              <w:top w:w="90" w:type="dxa"/>
              <w:start w:w="90" w:type="dxa"/>
              <w:bottom w:w="90" w:type="dxa"/>
              <w:end w:w="90" w:type="dxa"/>
            </w:tcMar>
          </w:tcPr>
          <w:p>
            <w:r>
              <w:rPr>
                <w:rFonts w:ascii="Arial" w:hAnsi="Arial"/>
                <w:sz w:val="17"/>
              </w:rPr>
              <w:t>Stand</w:t>
            </w:r>
          </w:p>
        </w:tc>
        <w:tc>
          <w:tcPr>
            <w:tcW w:type="dxa" w:w="4933"/>
            <w:vAlign w:val="center"/>
            <w:tcMar>
              <w:top w:w="90" w:type="dxa"/>
              <w:start w:w="90" w:type="dxa"/>
              <w:bottom w:w="90" w:type="dxa"/>
              <w:end w:w="90" w:type="dxa"/>
            </w:tcMar>
          </w:tcPr>
          <w:p>
            <w:r>
              <w:rPr>
                <w:rFonts w:ascii="Arial" w:hAnsi="Arial"/>
                <w:sz w:val="17"/>
              </w:rPr>
              <w:t>30.09.2026</w:t>
            </w:r>
          </w:p>
        </w:tc>
      </w:tr>
    </w:tbl>
    <w:p/>
    <w:p>
      <w:pPr>
        <w:pStyle w:val="Heading1"/>
      </w:pPr>
      <w:r>
        <w:rPr/>
        <w:t>1. Auftraggeber und Verfahren</w:t>
      </w:r>
    </w:p>
    <w:tbl>
      <w:tblPr>
        <w:tblStyle w:val="TableGrid"/>
        <w:tblW w:type="auto" w:w="0"/>
        <w:tblLook w:firstColumn="1" w:firstRow="1" w:lastColumn="0" w:lastRow="0" w:noHBand="0" w:noVBand="1" w:val="04A0"/>
      </w:tblPr>
      <w:tblGrid>
        <w:gridCol w:w="4933"/>
        <w:gridCol w:w="4933"/>
      </w:tblGrid>
      <w:tr>
        <w:trPr>
          <w:tblHeader w:val="true"/>
          <w:cantSplit/>
        </w:trPr>
        <w:tc>
          <w:tcPr>
            <w:tcW w:type="dxa" w:w="4933"/>
            <w:shd w:fill="1F4E78"/>
            <w:vAlign w:val="center"/>
            <w:tcMar>
              <w:top w:w="90" w:type="dxa"/>
              <w:start w:w="90" w:type="dxa"/>
              <w:bottom w:w="90" w:type="dxa"/>
              <w:end w:w="90" w:type="dxa"/>
            </w:tcMar>
          </w:tcPr>
          <w:p>
            <w:r>
              <w:rPr>
                <w:rFonts w:ascii="Arial" w:hAnsi="Arial"/>
                <w:b/>
                <w:color w:val="FFFFFF"/>
                <w:sz w:val="17"/>
              </w:rPr>
              <w:t>Punkt</w:t>
            </w:r>
          </w:p>
        </w:tc>
        <w:tc>
          <w:tcPr>
            <w:tcW w:type="dxa" w:w="4933"/>
            <w:shd w:fill="1F4E78"/>
            <w:vAlign w:val="center"/>
            <w:tcMar>
              <w:top w:w="90" w:type="dxa"/>
              <w:start w:w="90" w:type="dxa"/>
              <w:bottom w:w="90" w:type="dxa"/>
              <w:end w:w="90" w:type="dxa"/>
            </w:tcMar>
          </w:tcPr>
          <w:p>
            <w:r>
              <w:rPr>
                <w:rFonts w:ascii="Arial" w:hAnsi="Arial"/>
                <w:b/>
                <w:color w:val="FFFFFF"/>
                <w:sz w:val="17"/>
              </w:rPr>
              <w:t>Festlegung</w:t>
            </w:r>
          </w:p>
        </w:tc>
      </w:tr>
      <w:tr>
        <w:trPr>
          <w:cantSplit/>
        </w:trPr>
        <w:tc>
          <w:tcPr>
            <w:tcW w:type="dxa" w:w="4933"/>
            <w:vAlign w:val="center"/>
            <w:tcMar>
              <w:top w:w="90" w:type="dxa"/>
              <w:start w:w="90" w:type="dxa"/>
              <w:bottom w:w="90" w:type="dxa"/>
              <w:end w:w="90" w:type="dxa"/>
            </w:tcMar>
          </w:tcPr>
          <w:p>
            <w:r>
              <w:rPr>
                <w:rFonts w:ascii="Arial" w:hAnsi="Arial"/>
                <w:sz w:val="17"/>
              </w:rPr>
              <w:t>Auftraggeber</w:t>
            </w:r>
          </w:p>
        </w:tc>
        <w:tc>
          <w:tcPr>
            <w:tcW w:type="dxa" w:w="4933"/>
            <w:vAlign w:val="center"/>
            <w:tcMar>
              <w:top w:w="90" w:type="dxa"/>
              <w:start w:w="90" w:type="dxa"/>
              <w:bottom w:w="90" w:type="dxa"/>
              <w:end w:w="90" w:type="dxa"/>
            </w:tcMar>
          </w:tcPr>
          <w:p>
            <w:r>
              <w:rPr>
                <w:rFonts w:ascii="Arial" w:hAnsi="Arial"/>
                <w:sz w:val="17"/>
              </w:rPr>
              <w:t>Emilia Seniorenresidenz GmbH</w:t>
            </w:r>
          </w:p>
        </w:tc>
      </w:tr>
      <w:tr>
        <w:trPr>
          <w:cantSplit/>
        </w:trPr>
        <w:tc>
          <w:tcPr>
            <w:tcW w:type="dxa" w:w="4933"/>
            <w:vAlign w:val="center"/>
            <w:tcMar>
              <w:top w:w="90" w:type="dxa"/>
              <w:start w:w="90" w:type="dxa"/>
              <w:bottom w:w="90" w:type="dxa"/>
              <w:end w:w="90" w:type="dxa"/>
            </w:tcMar>
          </w:tcPr>
          <w:p>
            <w:r>
              <w:rPr>
                <w:rFonts w:ascii="Arial" w:hAnsi="Arial"/>
                <w:sz w:val="17"/>
              </w:rPr>
              <w:t>Vergabenummer</w:t>
            </w:r>
          </w:p>
        </w:tc>
        <w:tc>
          <w:tcPr>
            <w:tcW w:type="dxa" w:w="4933"/>
            <w:vAlign w:val="center"/>
            <w:tcMar>
              <w:top w:w="90" w:type="dxa"/>
              <w:start w:w="90" w:type="dxa"/>
              <w:bottom w:w="90" w:type="dxa"/>
              <w:end w:w="90" w:type="dxa"/>
            </w:tcMar>
          </w:tcPr>
          <w:p>
            <w:r>
              <w:rPr>
                <w:rFonts w:ascii="Arial" w:hAnsi="Arial"/>
                <w:sz w:val="17"/>
              </w:rPr>
              <w:t>ESR-2026-0001</w:t>
            </w:r>
          </w:p>
        </w:tc>
      </w:tr>
      <w:tr>
        <w:trPr>
          <w:cantSplit/>
        </w:trPr>
        <w:tc>
          <w:tcPr>
            <w:tcW w:type="dxa" w:w="4933"/>
            <w:vAlign w:val="center"/>
            <w:tcMar>
              <w:top w:w="90" w:type="dxa"/>
              <w:start w:w="90" w:type="dxa"/>
              <w:bottom w:w="90" w:type="dxa"/>
              <w:end w:w="90" w:type="dxa"/>
            </w:tcMar>
          </w:tcPr>
          <w:p>
            <w:r>
              <w:rPr>
                <w:rFonts w:ascii="Arial" w:hAnsi="Arial"/>
                <w:sz w:val="17"/>
              </w:rPr>
              <w:t>Verfahrensart</w:t>
            </w:r>
          </w:p>
        </w:tc>
        <w:tc>
          <w:tcPr>
            <w:tcW w:type="dxa" w:w="4933"/>
            <w:vAlign w:val="center"/>
            <w:tcMar>
              <w:top w:w="90" w:type="dxa"/>
              <w:start w:w="90" w:type="dxa"/>
              <w:bottom w:w="90" w:type="dxa"/>
              <w:end w:w="90" w:type="dxa"/>
            </w:tcMar>
          </w:tcPr>
          <w:p>
            <w:r>
              <w:rPr>
                <w:rFonts w:ascii="Arial" w:hAnsi="Arial"/>
                <w:sz w:val="17"/>
              </w:rPr>
              <w:t>EU-weites offenes Verfahren nach VgV</w:t>
            </w:r>
          </w:p>
        </w:tc>
      </w:tr>
      <w:tr>
        <w:trPr>
          <w:cantSplit/>
        </w:trPr>
        <w:tc>
          <w:tcPr>
            <w:tcW w:type="dxa" w:w="4933"/>
            <w:vAlign w:val="center"/>
            <w:tcMar>
              <w:top w:w="90" w:type="dxa"/>
              <w:start w:w="90" w:type="dxa"/>
              <w:bottom w:w="90" w:type="dxa"/>
              <w:end w:w="90" w:type="dxa"/>
            </w:tcMar>
          </w:tcPr>
          <w:p>
            <w:r>
              <w:rPr>
                <w:rFonts w:ascii="Arial" w:hAnsi="Arial"/>
                <w:sz w:val="17"/>
              </w:rPr>
              <w:t>Vergabeplattform</w:t>
            </w:r>
          </w:p>
        </w:tc>
        <w:tc>
          <w:tcPr>
            <w:tcW w:type="dxa" w:w="4933"/>
            <w:vAlign w:val="center"/>
            <w:tcMar>
              <w:top w:w="90" w:type="dxa"/>
              <w:start w:w="90" w:type="dxa"/>
              <w:bottom w:w="90" w:type="dxa"/>
              <w:end w:w="90" w:type="dxa"/>
            </w:tcMar>
          </w:tcPr>
          <w:p>
            <w:r>
              <w:rPr>
                <w:rFonts w:ascii="Arial" w:hAnsi="Arial"/>
                <w:sz w:val="17"/>
              </w:rPr>
              <w:t>DTVP</w:t>
            </w:r>
          </w:p>
        </w:tc>
      </w:tr>
      <w:tr>
        <w:trPr>
          <w:cantSplit/>
        </w:trPr>
        <w:tc>
          <w:tcPr>
            <w:tcW w:type="dxa" w:w="4933"/>
            <w:vAlign w:val="center"/>
            <w:tcMar>
              <w:top w:w="90" w:type="dxa"/>
              <w:start w:w="90" w:type="dxa"/>
              <w:bottom w:w="90" w:type="dxa"/>
              <w:end w:w="90" w:type="dxa"/>
            </w:tcMar>
          </w:tcPr>
          <w:p>
            <w:r>
              <w:rPr>
                <w:rFonts w:ascii="Arial" w:hAnsi="Arial"/>
                <w:sz w:val="17"/>
              </w:rPr>
              <w:t>Verfahrenskommunikation</w:t>
            </w:r>
          </w:p>
        </w:tc>
        <w:tc>
          <w:tcPr>
            <w:tcW w:type="dxa" w:w="4933"/>
            <w:vAlign w:val="center"/>
            <w:tcMar>
              <w:top w:w="90" w:type="dxa"/>
              <w:start w:w="90" w:type="dxa"/>
              <w:bottom w:w="90" w:type="dxa"/>
              <w:end w:w="90" w:type="dxa"/>
            </w:tcMar>
          </w:tcPr>
          <w:p>
            <w:r>
              <w:rPr>
                <w:rFonts w:ascii="Arial" w:hAnsi="Arial"/>
                <w:sz w:val="17"/>
              </w:rPr>
              <w:t>Ausschließlich über die Kommunikationsfunktion von DTVP. Direkte Kontaktaufnahme mit fachlichen Ansprechpartnern ist nicht vorgesehen.</w:t>
            </w:r>
          </w:p>
        </w:tc>
      </w:tr>
      <w:tr>
        <w:trPr>
          <w:cantSplit/>
        </w:trPr>
        <w:tc>
          <w:tcPr>
            <w:tcW w:type="dxa" w:w="4933"/>
            <w:vAlign w:val="center"/>
            <w:tcMar>
              <w:top w:w="90" w:type="dxa"/>
              <w:start w:w="90" w:type="dxa"/>
              <w:bottom w:w="90" w:type="dxa"/>
              <w:end w:w="90" w:type="dxa"/>
            </w:tcMar>
          </w:tcPr>
          <w:p>
            <w:r>
              <w:rPr>
                <w:rFonts w:ascii="Arial" w:hAnsi="Arial"/>
                <w:sz w:val="17"/>
              </w:rPr>
              <w:t>Sprache</w:t>
            </w:r>
          </w:p>
        </w:tc>
        <w:tc>
          <w:tcPr>
            <w:tcW w:type="dxa" w:w="4933"/>
            <w:vAlign w:val="center"/>
            <w:tcMar>
              <w:top w:w="90" w:type="dxa"/>
              <w:start w:w="90" w:type="dxa"/>
              <w:bottom w:w="90" w:type="dxa"/>
              <w:end w:w="90" w:type="dxa"/>
            </w:tcMar>
          </w:tcPr>
          <w:p>
            <w:r>
              <w:rPr>
                <w:rFonts w:ascii="Arial" w:hAnsi="Arial"/>
                <w:sz w:val="17"/>
              </w:rPr>
              <w:t>Deutsch</w:t>
            </w:r>
          </w:p>
        </w:tc>
      </w:tr>
      <w:tr>
        <w:trPr>
          <w:cantSplit/>
        </w:trPr>
        <w:tc>
          <w:tcPr>
            <w:tcW w:type="dxa" w:w="4933"/>
            <w:vAlign w:val="center"/>
            <w:tcMar>
              <w:top w:w="90" w:type="dxa"/>
              <w:start w:w="90" w:type="dxa"/>
              <w:bottom w:w="90" w:type="dxa"/>
              <w:end w:w="90" w:type="dxa"/>
            </w:tcMar>
          </w:tcPr>
          <w:p>
            <w:r>
              <w:rPr>
                <w:rFonts w:ascii="Arial" w:hAnsi="Arial"/>
                <w:sz w:val="17"/>
              </w:rPr>
              <w:t>Nebenangebote</w:t>
            </w:r>
          </w:p>
        </w:tc>
        <w:tc>
          <w:tcPr>
            <w:tcW w:type="dxa" w:w="4933"/>
            <w:vAlign w:val="center"/>
            <w:tcMar>
              <w:top w:w="90" w:type="dxa"/>
              <w:start w:w="90" w:type="dxa"/>
              <w:bottom w:w="90" w:type="dxa"/>
              <w:end w:w="90" w:type="dxa"/>
            </w:tcMar>
          </w:tcPr>
          <w:p>
            <w:r>
              <w:rPr>
                <w:rFonts w:ascii="Arial" w:hAnsi="Arial"/>
                <w:sz w:val="17"/>
              </w:rPr>
              <w:t>Nicht zugelassen.</w:t>
            </w:r>
            <w:r>
              <w:rPr>
                <w:rStyle w:val="CommentReference"/>
              </w:rPr>
            </w:r>
          </w:p>
        </w:tc>
      </w:tr>
      <w:tr>
        <w:trPr>
          <w:cantSplit/>
        </w:trPr>
        <w:tc>
          <w:tcPr>
            <w:tcW w:type="dxa" w:w="4933"/>
            <w:vAlign w:val="center"/>
            <w:tcMar>
              <w:top w:w="90" w:type="dxa"/>
              <w:start w:w="90" w:type="dxa"/>
              <w:bottom w:w="90" w:type="dxa"/>
              <w:end w:w="90" w:type="dxa"/>
            </w:tcMar>
          </w:tcPr>
          <w:p>
            <w:r>
              <w:rPr>
                <w:rFonts w:ascii="Arial" w:hAnsi="Arial"/>
                <w:sz w:val="17"/>
              </w:rPr>
              <w:t>Varianten</w:t>
            </w:r>
          </w:p>
        </w:tc>
        <w:tc>
          <w:tcPr>
            <w:tcW w:type="dxa" w:w="4933"/>
            <w:vAlign w:val="center"/>
            <w:tcMar>
              <w:top w:w="90" w:type="dxa"/>
              <w:start w:w="90" w:type="dxa"/>
              <w:bottom w:w="90" w:type="dxa"/>
              <w:end w:w="90" w:type="dxa"/>
            </w:tcMar>
          </w:tcPr>
          <w:p>
            <w:r>
              <w:rPr>
                <w:rFonts w:ascii="Arial" w:hAnsi="Arial"/>
                <w:sz w:val="17"/>
              </w:rPr>
              <w:t>Nicht zugelassen.</w:t>
            </w:r>
          </w:p>
        </w:tc>
      </w:tr>
    </w:tbl>
    <w:p>
      <w:pPr>
        <w:pStyle w:val="Heading1"/>
      </w:pPr>
      <w:r>
        <w:rPr/>
        <w:t>2. Beschaffungsstruktur</w:t>
      </w:r>
    </w:p>
    <w:p>
      <w:r>
        <w:rPr/>
        <w:t>Der Auftrag wird als Gesamtleistung in einem Los mit sechs fachlichen Titeln vergeben. Eine Teilbezuschlagung einzelner Titel ist nicht vorgesehen.</w:t>
      </w:r>
      <w:r>
        <w:rPr>
          <w:rStyle w:val="CommentReference"/>
        </w:rPr>
      </w:r>
    </w:p>
    <w:tbl>
      <w:tblPr>
        <w:tblStyle w:val="TableGrid"/>
        <w:tblW w:type="auto" w:w="0"/>
        <w:tblLook w:firstColumn="1" w:firstRow="1" w:lastColumn="0" w:lastRow="0" w:noHBand="0" w:noVBand="1" w:val="04A0"/>
      </w:tblPr>
      <w:tblGrid>
        <w:gridCol w:w="4933"/>
        <w:gridCol w:w="4933"/>
      </w:tblGrid>
      <w:tr>
        <w:trPr>
          <w:tblHeader w:val="true"/>
          <w:cantSplit/>
        </w:trPr>
        <w:tc>
          <w:tcPr>
            <w:tcW w:type="dxa" w:w="4933"/>
            <w:shd w:fill="1F4E78"/>
            <w:vAlign w:val="center"/>
            <w:tcMar>
              <w:top w:w="90" w:type="dxa"/>
              <w:start w:w="90" w:type="dxa"/>
              <w:bottom w:w="90" w:type="dxa"/>
              <w:end w:w="90" w:type="dxa"/>
            </w:tcMar>
          </w:tcPr>
          <w:p>
            <w:r>
              <w:rPr>
                <w:rFonts w:ascii="Arial" w:hAnsi="Arial"/>
                <w:b/>
                <w:color w:val="FFFFFF"/>
                <w:sz w:val="17"/>
              </w:rPr>
              <w:t>Titel</w:t>
            </w:r>
          </w:p>
        </w:tc>
        <w:tc>
          <w:tcPr>
            <w:tcW w:type="dxa" w:w="4933"/>
            <w:shd w:fill="1F4E78"/>
            <w:vAlign w:val="center"/>
            <w:tcMar>
              <w:top w:w="90" w:type="dxa"/>
              <w:start w:w="90" w:type="dxa"/>
              <w:bottom w:w="90" w:type="dxa"/>
              <w:end w:w="90" w:type="dxa"/>
            </w:tcMar>
          </w:tcPr>
          <w:p>
            <w:r>
              <w:rPr>
                <w:rFonts w:ascii="Arial" w:hAnsi="Arial"/>
                <w:b/>
                <w:color w:val="FFFFFF"/>
                <w:sz w:val="17"/>
              </w:rPr>
              <w:t>Bezeichnung</w:t>
            </w:r>
          </w:p>
        </w:tc>
      </w:tr>
      <w:tr>
        <w:trPr>
          <w:cantSplit/>
        </w:trPr>
        <w:tc>
          <w:tcPr>
            <w:tcW w:type="dxa" w:w="4933"/>
            <w:vAlign w:val="center"/>
            <w:tcMar>
              <w:top w:w="90" w:type="dxa"/>
              <w:start w:w="90" w:type="dxa"/>
              <w:bottom w:w="90" w:type="dxa"/>
              <w:end w:w="90" w:type="dxa"/>
            </w:tcMar>
          </w:tcPr>
          <w:p>
            <w:r>
              <w:rPr>
                <w:rFonts w:ascii="Arial" w:hAnsi="Arial"/>
                <w:sz w:val="17"/>
              </w:rPr>
              <w:t>1</w:t>
            </w:r>
          </w:p>
        </w:tc>
        <w:tc>
          <w:tcPr>
            <w:tcW w:type="dxa" w:w="4933"/>
            <w:vAlign w:val="center"/>
            <w:tcMar>
              <w:top w:w="90" w:type="dxa"/>
              <w:start w:w="90" w:type="dxa"/>
              <w:bottom w:w="90" w:type="dxa"/>
              <w:end w:w="90" w:type="dxa"/>
            </w:tcMar>
          </w:tcPr>
          <w:p>
            <w:r>
              <w:rPr>
                <w:rFonts w:ascii="Arial" w:hAnsi="Arial"/>
                <w:sz w:val="17"/>
              </w:rPr>
              <w:t>Zentrale IT-Infrastruktur</w:t>
            </w:r>
          </w:p>
        </w:tc>
      </w:tr>
      <w:tr>
        <w:trPr>
          <w:cantSplit/>
        </w:trPr>
        <w:tc>
          <w:tcPr>
            <w:tcW w:type="dxa" w:w="4933"/>
            <w:vAlign w:val="center"/>
            <w:tcMar>
              <w:top w:w="90" w:type="dxa"/>
              <w:start w:w="90" w:type="dxa"/>
              <w:bottom w:w="90" w:type="dxa"/>
              <w:end w:w="90" w:type="dxa"/>
            </w:tcMar>
          </w:tcPr>
          <w:p>
            <w:r>
              <w:rPr>
                <w:rFonts w:ascii="Arial" w:hAnsi="Arial"/>
                <w:sz w:val="17"/>
              </w:rPr>
              <w:t>2</w:t>
            </w:r>
          </w:p>
        </w:tc>
        <w:tc>
          <w:tcPr>
            <w:tcW w:type="dxa" w:w="4933"/>
            <w:vAlign w:val="center"/>
            <w:tcMar>
              <w:top w:w="90" w:type="dxa"/>
              <w:start w:w="90" w:type="dxa"/>
              <w:bottom w:w="90" w:type="dxa"/>
              <w:end w:w="90" w:type="dxa"/>
            </w:tcMar>
          </w:tcPr>
          <w:p>
            <w:r>
              <w:rPr>
                <w:rFonts w:ascii="Arial" w:hAnsi="Arial"/>
                <w:sz w:val="17"/>
              </w:rPr>
              <w:t>Netzwerk und IT-Sicherheit</w:t>
            </w:r>
          </w:p>
        </w:tc>
      </w:tr>
      <w:tr>
        <w:trPr>
          <w:cantSplit/>
        </w:trPr>
        <w:tc>
          <w:tcPr>
            <w:tcW w:type="dxa" w:w="4933"/>
            <w:vAlign w:val="center"/>
            <w:tcMar>
              <w:top w:w="90" w:type="dxa"/>
              <w:start w:w="90" w:type="dxa"/>
              <w:bottom w:w="90" w:type="dxa"/>
              <w:end w:w="90" w:type="dxa"/>
            </w:tcMar>
          </w:tcPr>
          <w:p>
            <w:r>
              <w:rPr>
                <w:rFonts w:ascii="Arial" w:hAnsi="Arial"/>
                <w:sz w:val="17"/>
              </w:rPr>
              <w:t>3</w:t>
            </w:r>
          </w:p>
        </w:tc>
        <w:tc>
          <w:tcPr>
            <w:tcW w:type="dxa" w:w="4933"/>
            <w:vAlign w:val="center"/>
            <w:tcMar>
              <w:top w:w="90" w:type="dxa"/>
              <w:start w:w="90" w:type="dxa"/>
              <w:bottom w:w="90" w:type="dxa"/>
              <w:end w:w="90" w:type="dxa"/>
            </w:tcMar>
          </w:tcPr>
          <w:p>
            <w:r>
              <w:rPr>
                <w:rFonts w:ascii="Arial" w:hAnsi="Arial"/>
                <w:sz w:val="17"/>
              </w:rPr>
              <w:t>Arbeitsplatz- und Mobilgeräte</w:t>
            </w:r>
          </w:p>
        </w:tc>
      </w:tr>
      <w:tr>
        <w:trPr>
          <w:cantSplit/>
        </w:trPr>
        <w:tc>
          <w:tcPr>
            <w:tcW w:type="dxa" w:w="4933"/>
            <w:vAlign w:val="center"/>
            <w:tcMar>
              <w:top w:w="90" w:type="dxa"/>
              <w:start w:w="90" w:type="dxa"/>
              <w:bottom w:w="90" w:type="dxa"/>
              <w:end w:w="90" w:type="dxa"/>
            </w:tcMar>
          </w:tcPr>
          <w:p>
            <w:r>
              <w:rPr>
                <w:rFonts w:ascii="Arial" w:hAnsi="Arial"/>
                <w:sz w:val="17"/>
              </w:rPr>
              <w:t>4</w:t>
            </w:r>
          </w:p>
        </w:tc>
        <w:tc>
          <w:tcPr>
            <w:tcW w:type="dxa" w:w="4933"/>
            <w:vAlign w:val="center"/>
            <w:tcMar>
              <w:top w:w="90" w:type="dxa"/>
              <w:start w:w="90" w:type="dxa"/>
              <w:bottom w:w="90" w:type="dxa"/>
              <w:end w:w="90" w:type="dxa"/>
            </w:tcMar>
          </w:tcPr>
          <w:p>
            <w:r>
              <w:rPr>
                <w:rFonts w:ascii="Arial" w:hAnsi="Arial"/>
                <w:sz w:val="17"/>
              </w:rPr>
              <w:t>Software, Lizenzen und Security-Dienste</w:t>
            </w:r>
          </w:p>
        </w:tc>
      </w:tr>
      <w:tr>
        <w:trPr>
          <w:cantSplit/>
        </w:trPr>
        <w:tc>
          <w:tcPr>
            <w:tcW w:type="dxa" w:w="4933"/>
            <w:vAlign w:val="center"/>
            <w:tcMar>
              <w:top w:w="90" w:type="dxa"/>
              <w:start w:w="90" w:type="dxa"/>
              <w:bottom w:w="90" w:type="dxa"/>
              <w:end w:w="90" w:type="dxa"/>
            </w:tcMar>
          </w:tcPr>
          <w:p>
            <w:r>
              <w:rPr>
                <w:rFonts w:ascii="Arial" w:hAnsi="Arial"/>
                <w:sz w:val="17"/>
              </w:rPr>
              <w:t>5</w:t>
            </w:r>
          </w:p>
        </w:tc>
        <w:tc>
          <w:tcPr>
            <w:tcW w:type="dxa" w:w="4933"/>
            <w:vAlign w:val="center"/>
            <w:tcMar>
              <w:top w:w="90" w:type="dxa"/>
              <w:start w:w="90" w:type="dxa"/>
              <w:bottom w:w="90" w:type="dxa"/>
              <w:end w:w="90" w:type="dxa"/>
            </w:tcMar>
          </w:tcPr>
          <w:p>
            <w:r>
              <w:rPr>
                <w:rFonts w:ascii="Arial" w:hAnsi="Arial"/>
                <w:sz w:val="17"/>
              </w:rPr>
              <w:t>Implementierung, Migration und Inbetriebnahme</w:t>
            </w:r>
          </w:p>
        </w:tc>
      </w:tr>
      <w:tr>
        <w:trPr>
          <w:cantSplit/>
        </w:trPr>
        <w:tc>
          <w:tcPr>
            <w:tcW w:type="dxa" w:w="4933"/>
            <w:vAlign w:val="center"/>
            <w:tcMar>
              <w:top w:w="90" w:type="dxa"/>
              <w:start w:w="90" w:type="dxa"/>
              <w:bottom w:w="90" w:type="dxa"/>
              <w:end w:w="90" w:type="dxa"/>
            </w:tcMar>
          </w:tcPr>
          <w:p>
            <w:r>
              <w:rPr>
                <w:rFonts w:ascii="Arial" w:hAnsi="Arial"/>
                <w:sz w:val="17"/>
              </w:rPr>
              <w:t>6</w:t>
            </w:r>
          </w:p>
        </w:tc>
        <w:tc>
          <w:tcPr>
            <w:tcW w:type="dxa" w:w="4933"/>
            <w:vAlign w:val="center"/>
            <w:tcMar>
              <w:top w:w="90" w:type="dxa"/>
              <w:start w:w="90" w:type="dxa"/>
              <w:bottom w:w="90" w:type="dxa"/>
              <w:end w:w="90" w:type="dxa"/>
            </w:tcMar>
          </w:tcPr>
          <w:p>
            <w:r>
              <w:rPr>
                <w:rFonts w:ascii="Arial" w:hAnsi="Arial"/>
                <w:sz w:val="17"/>
              </w:rPr>
              <w:t>Betrieb, Wartung und Support</w:t>
            </w:r>
          </w:p>
        </w:tc>
      </w:tr>
    </w:tbl>
    <w:p>
      <w:pPr>
        <w:pStyle w:val="Heading1"/>
      </w:pPr>
      <w:r>
        <w:rPr/>
        <w:t>3. Bietergemeinschaften, Nachunternehmen und Eignungsleihe</w:t>
      </w:r>
    </w:p>
    <w:p>
      <w:r>
        <w:rPr/>
        <w:t>Bietergemeinschaften sind zugelassen.</w:t>
      </w:r>
      <w:r>
        <w:rPr>
          <w:rStyle w:val="CommentReference"/>
        </w:rPr>
      </w:r>
    </w:p>
    <w:p>
      <w:pPr>
        <w:pStyle w:val="ListBullet"/>
      </w:pPr>
      <w:r>
        <w:rPr/>
        <w:t>Bietergemeinschaften haben ein federführendes Mitglied zu benennen, die Aufgabenverteilung darzustellen und die Vertretungsbefugnis zu erklären.</w:t>
      </w:r>
    </w:p>
    <w:p>
      <w:pPr>
        <w:pStyle w:val="ListBullet"/>
      </w:pPr>
      <w:r>
        <w:rPr/>
        <w:t>Die Mitglieder der Bietergemeinschaft haften gesamtschuldnerisch für die vertragsgemäße Leistungserbringung.</w:t>
      </w:r>
    </w:p>
    <w:p>
      <w:pPr>
        <w:pStyle w:val="ListBullet"/>
      </w:pPr>
      <w:r>
        <w:rPr/>
      </w:r>
      <w:r>
        <w:t>Im von der Vergabestelle bereitgestellten Formblatt 1.09 (VHB 235) sind die zur Untervergabe vorgesehenen Leistungsanteile mit LV-Titel/Position zu benennen; das Unternehmen ist bei Angebotsabgabe anzugeben, soweit dies zumutbar ist. Das Formblatt 1.10 (VHB 236) ist bei bloßem Unterauftrag nur auf gesonderte Aufforderung vor Zuschlag vorzulegen.</w:t>
      </w:r>
    </w:p>
    <w:p>
      <w:pPr>
        <w:pStyle w:val="ListBullet"/>
      </w:pPr>
      <w:r>
        <w:rPr/>
      </w:r>
      <w:r>
        <w:t>Eignungsleihe ist nach § 47 VgV zulässig. Der betroffene Leistungsbereich wird in 1.09 angegeben; mit 1.10 benennt das andere Unternehmen seine Kapazitäten und erklärt deren tatsächliche Verfügbarkeit. Soweit dessen berufliche Erfahrung oder Befähigung in Anspruch genommen wird, muss es die betroffenen Leistungen selbst erbringen.</w:t>
      </w:r>
    </w:p>
    <w:p>
      <w:pPr/>
      <w:r>
        <w:t>Ausfüllhinweis zu den offiziellen, elektronisch ausfüllbaren PDFs: „Maßnahme“ bezeichnet das IT-Carve-out Emilia, „Leistung“ den ausgeschriebenen IT-Auftrag und „OZ/Leistungsbereich“ die betroffene LV-Position bzw. den Titel. Formblatt 1.10 wird vom anderen Unternehmen erklärt. Die Abgabe erfolgt elektronisch über die Vergabeplattform; ein Papierausdruck ist nicht erforderlich.</w:t>
      </w:r>
    </w:p>
    <w:p>
      <w:pPr>
        <w:pStyle w:val="Heading1"/>
      </w:pPr>
      <w:r>
        <w:rPr/>
        <w:t>4. Fristen</w:t>
      </w:r>
    </w:p>
    <w:tbl>
      <w:tblPr>
        <w:tblStyle w:val="TableGrid"/>
        <w:tblW w:type="auto" w:w="0"/>
        <w:tblLook w:firstColumn="1" w:firstRow="1" w:lastColumn="0" w:lastRow="0" w:noHBand="0" w:noVBand="1" w:val="04A0"/>
      </w:tblPr>
      <w:tblGrid>
        <w:gridCol w:w="4933"/>
        <w:gridCol w:w="4933"/>
      </w:tblGrid>
      <w:tr>
        <w:trPr>
          <w:tblHeader w:val="true"/>
          <w:cantSplit/>
        </w:trPr>
        <w:tc>
          <w:tcPr>
            <w:tcW w:type="dxa" w:w="4933"/>
            <w:shd w:fill="1F4E78"/>
            <w:vAlign w:val="center"/>
            <w:tcMar>
              <w:top w:w="90" w:type="dxa"/>
              <w:start w:w="90" w:type="dxa"/>
              <w:bottom w:w="90" w:type="dxa"/>
              <w:end w:w="90" w:type="dxa"/>
            </w:tcMar>
          </w:tcPr>
          <w:p>
            <w:r>
              <w:rPr>
                <w:rFonts w:ascii="Arial" w:hAnsi="Arial"/>
                <w:b/>
                <w:color w:val="FFFFFF"/>
                <w:sz w:val="17"/>
              </w:rPr>
              <w:t>Meilenstein</w:t>
            </w:r>
          </w:p>
        </w:tc>
        <w:tc>
          <w:tcPr>
            <w:tcW w:type="dxa" w:w="4933"/>
            <w:shd w:fill="1F4E78"/>
            <w:vAlign w:val="center"/>
            <w:tcMar>
              <w:top w:w="90" w:type="dxa"/>
              <w:start w:w="90" w:type="dxa"/>
              <w:bottom w:w="90" w:type="dxa"/>
              <w:end w:w="90" w:type="dxa"/>
            </w:tcMar>
          </w:tcPr>
          <w:p>
            <w:r>
              <w:rPr>
                <w:rFonts w:ascii="Arial" w:hAnsi="Arial"/>
                <w:b/>
                <w:color w:val="FFFFFF"/>
                <w:sz w:val="17"/>
              </w:rPr>
              <w:t>Termin</w:t>
            </w:r>
          </w:p>
        </w:tc>
      </w:tr>
      <w:tr>
        <w:trPr>
          <w:cantSplit/>
        </w:trPr>
        <w:tc>
          <w:tcPr>
            <w:tcW w:type="dxa" w:w="4933"/>
            <w:vAlign w:val="center"/>
            <w:tcMar>
              <w:top w:w="90" w:type="dxa"/>
              <w:start w:w="90" w:type="dxa"/>
              <w:bottom w:w="90" w:type="dxa"/>
              <w:end w:w="90" w:type="dxa"/>
            </w:tcMar>
          </w:tcPr>
          <w:p>
            <w:r>
              <w:rPr>
                <w:rFonts w:ascii="Arial" w:hAnsi="Arial"/>
                <w:sz w:val="17"/>
              </w:rPr>
              <w:t>Veröffentlichung / Bereitstellung Vergabeunterlagen</w:t>
            </w:r>
          </w:p>
        </w:tc>
        <w:tc>
          <w:tcPr>
            <w:tcW w:type="dxa" w:w="4933"/>
            <w:vAlign w:val="center"/>
            <w:tcMar>
              <w:top w:w="90" w:type="dxa"/>
              <w:start w:w="90" w:type="dxa"/>
              <w:bottom w:w="90" w:type="dxa"/>
              <w:end w:w="90" w:type="dxa"/>
            </w:tcMar>
          </w:tcPr>
          <w:p>
            <w:r>
              <w:rPr>
                <w:rFonts w:ascii="Arial" w:hAnsi="Arial"/>
                <w:sz w:val="17"/>
              </w:rPr>
              <w:t>12.10.2026</w:t>
            </w:r>
          </w:p>
        </w:tc>
      </w:tr>
      <w:tr>
        <w:trPr>
          <w:cantSplit/>
        </w:trPr>
        <w:tc>
          <w:tcPr>
            <w:tcW w:type="dxa" w:w="4933"/>
            <w:vAlign w:val="center"/>
            <w:tcMar>
              <w:top w:w="90" w:type="dxa"/>
              <w:start w:w="90" w:type="dxa"/>
              <w:bottom w:w="90" w:type="dxa"/>
              <w:end w:w="90" w:type="dxa"/>
            </w:tcMar>
          </w:tcPr>
          <w:p>
            <w:r>
              <w:rPr>
                <w:rFonts w:ascii="Arial" w:hAnsi="Arial"/>
                <w:sz w:val="17"/>
              </w:rPr>
              <w:t>Bieterfragen Runde 1 bis</w:t>
            </w:r>
          </w:p>
        </w:tc>
        <w:tc>
          <w:tcPr>
            <w:tcW w:type="dxa" w:w="4933"/>
            <w:vAlign w:val="center"/>
            <w:tcMar>
              <w:top w:w="90" w:type="dxa"/>
              <w:start w:w="90" w:type="dxa"/>
              <w:bottom w:w="90" w:type="dxa"/>
              <w:end w:w="90" w:type="dxa"/>
            </w:tcMar>
          </w:tcPr>
          <w:p>
            <w:r>
              <w:rPr>
                <w:rFonts w:ascii="Arial" w:hAnsi="Arial"/>
                <w:sz w:val="17"/>
              </w:rPr>
              <w:t>23.10.2026</w:t>
            </w:r>
          </w:p>
        </w:tc>
      </w:tr>
      <w:tr>
        <w:trPr>
          <w:cantSplit/>
        </w:trPr>
        <w:tc>
          <w:tcPr>
            <w:tcW w:type="dxa" w:w="4933"/>
            <w:vAlign w:val="center"/>
            <w:tcMar>
              <w:top w:w="90" w:type="dxa"/>
              <w:start w:w="90" w:type="dxa"/>
              <w:bottom w:w="90" w:type="dxa"/>
              <w:end w:w="90" w:type="dxa"/>
            </w:tcMar>
          </w:tcPr>
          <w:p>
            <w:r>
              <w:rPr>
                <w:rFonts w:ascii="Arial" w:hAnsi="Arial"/>
                <w:sz w:val="17"/>
              </w:rPr>
              <w:t>Antwortpaket Runde 1 bis</w:t>
            </w:r>
          </w:p>
        </w:tc>
        <w:tc>
          <w:tcPr>
            <w:tcW w:type="dxa" w:w="4933"/>
            <w:vAlign w:val="center"/>
            <w:tcMar>
              <w:top w:w="90" w:type="dxa"/>
              <w:start w:w="90" w:type="dxa"/>
              <w:bottom w:w="90" w:type="dxa"/>
              <w:end w:w="90" w:type="dxa"/>
            </w:tcMar>
          </w:tcPr>
          <w:p>
            <w:r>
              <w:rPr>
                <w:rFonts w:ascii="Arial" w:hAnsi="Arial"/>
                <w:sz w:val="17"/>
              </w:rPr>
              <w:t>28.10.2026</w:t>
            </w:r>
          </w:p>
        </w:tc>
      </w:tr>
      <w:tr>
        <w:tc>
          <w:tcPr>
            <w:tcW w:type="dxa" w:w="4933"/>
          </w:tcPr>
          <w:p>
            <w:r>
              <w:rPr>
                <w:rFonts w:ascii="Arial" w:hAnsi="Arial"/>
                <w:sz w:val="17"/>
              </w:rPr>
              <w:t>Bieterfragen Runde 2 bis</w:t>
            </w:r>
          </w:p>
        </w:tc>
        <w:tc>
          <w:tcPr>
            <w:tcW w:type="dxa" w:w="4933"/>
          </w:tcPr>
          <w:p>
            <w:r>
              <w:rPr>
                <w:rFonts w:ascii="Arial" w:hAnsi="Arial"/>
                <w:sz w:val="17"/>
              </w:rPr>
              <w:t>04.11.2026</w:t>
            </w:r>
          </w:p>
        </w:tc>
      </w:tr>
      <w:tr>
        <w:tc>
          <w:tcPr>
            <w:tcW w:type="dxa" w:w="4933"/>
          </w:tcPr>
          <w:p>
            <w:r>
              <w:rPr>
                <w:rFonts w:ascii="Arial" w:hAnsi="Arial"/>
                <w:sz w:val="17"/>
              </w:rPr>
              <w:t>Antwortpaket Runde 2 bis</w:t>
            </w:r>
          </w:p>
        </w:tc>
        <w:tc>
          <w:tcPr>
            <w:tcW w:type="dxa" w:w="4933"/>
          </w:tcPr>
          <w:p>
            <w:r>
              <w:rPr>
                <w:rFonts w:ascii="Arial" w:hAnsi="Arial"/>
                <w:sz w:val="17"/>
              </w:rPr>
              <w:t>09.11.2026</w:t>
            </w:r>
          </w:p>
        </w:tc>
      </w:tr>
      <w:tr>
        <w:trPr>
          <w:cantSplit/>
        </w:trPr>
        <w:tc>
          <w:tcPr>
            <w:tcW w:type="dxa" w:w="4933"/>
            <w:vAlign w:val="center"/>
            <w:tcMar>
              <w:top w:w="90" w:type="dxa"/>
              <w:start w:w="90" w:type="dxa"/>
              <w:bottom w:w="90" w:type="dxa"/>
              <w:end w:w="90" w:type="dxa"/>
            </w:tcMar>
          </w:tcPr>
          <w:p>
            <w:r>
              <w:rPr>
                <w:rFonts w:ascii="Arial" w:hAnsi="Arial"/>
                <w:sz w:val="17"/>
              </w:rPr>
              <w:t>Angebotsfrist</w:t>
            </w:r>
          </w:p>
        </w:tc>
        <w:tc>
          <w:tcPr>
            <w:tcW w:type="dxa" w:w="4933"/>
            <w:vAlign w:val="center"/>
            <w:tcMar>
              <w:top w:w="90" w:type="dxa"/>
              <w:start w:w="90" w:type="dxa"/>
              <w:bottom w:w="90" w:type="dxa"/>
              <w:end w:w="90" w:type="dxa"/>
            </w:tcMar>
          </w:tcPr>
          <w:p>
            <w:r>
              <w:rPr>
                <w:rFonts w:ascii="Arial" w:hAnsi="Arial"/>
                <w:sz w:val="17"/>
              </w:rPr>
              <w:t>16.11.2026, 12:00 Uhr</w:t>
            </w:r>
          </w:p>
        </w:tc>
      </w:tr>
      <w:tr>
        <w:trPr>
          <w:cantSplit/>
        </w:trPr>
        <w:tc>
          <w:tcPr>
            <w:tcW w:type="dxa" w:w="4933"/>
            <w:vAlign w:val="center"/>
            <w:tcMar>
              <w:top w:w="90" w:type="dxa"/>
              <w:start w:w="90" w:type="dxa"/>
              <w:bottom w:w="90" w:type="dxa"/>
              <w:end w:w="90" w:type="dxa"/>
            </w:tcMar>
          </w:tcPr>
          <w:p>
            <w:r>
              <w:rPr>
                <w:rFonts w:ascii="Arial" w:hAnsi="Arial"/>
                <w:sz w:val="17"/>
              </w:rPr>
              <w:t>Voraussichtliche Information nach § 134 GWB</w:t>
            </w:r>
          </w:p>
        </w:tc>
        <w:tc>
          <w:tcPr>
            <w:tcW w:type="dxa" w:w="4933"/>
            <w:vAlign w:val="center"/>
            <w:tcMar>
              <w:top w:w="90" w:type="dxa"/>
              <w:start w:w="90" w:type="dxa"/>
              <w:bottom w:w="90" w:type="dxa"/>
              <w:end w:w="90" w:type="dxa"/>
            </w:tcMar>
          </w:tcPr>
          <w:p>
            <w:r>
              <w:rPr>
                <w:rFonts w:ascii="Arial" w:hAnsi="Arial"/>
                <w:sz w:val="17"/>
              </w:rPr>
              <w:t>07.12.2026</w:t>
            </w:r>
          </w:p>
        </w:tc>
      </w:tr>
      <w:tr>
        <w:trPr>
          <w:cantSplit/>
        </w:trPr>
        <w:tc>
          <w:tcPr>
            <w:tcW w:type="dxa" w:w="4933"/>
            <w:vAlign w:val="center"/>
            <w:tcMar>
              <w:top w:w="90" w:type="dxa"/>
              <w:start w:w="90" w:type="dxa"/>
              <w:bottom w:w="90" w:type="dxa"/>
              <w:end w:w="90" w:type="dxa"/>
            </w:tcMar>
          </w:tcPr>
          <w:p>
            <w:r>
              <w:rPr>
                <w:rFonts w:ascii="Arial" w:hAnsi="Arial"/>
                <w:sz w:val="17"/>
              </w:rPr>
              <w:t>Voraussichtlich frühester Zuschlag</w:t>
            </w:r>
          </w:p>
        </w:tc>
        <w:tc>
          <w:tcPr>
            <w:tcW w:type="dxa" w:w="4933"/>
            <w:vAlign w:val="center"/>
            <w:tcMar>
              <w:top w:w="90" w:type="dxa"/>
              <w:start w:w="90" w:type="dxa"/>
              <w:bottom w:w="90" w:type="dxa"/>
              <w:end w:w="90" w:type="dxa"/>
            </w:tcMar>
          </w:tcPr>
          <w:p>
            <w:r>
              <w:rPr>
                <w:rFonts w:ascii="Arial" w:hAnsi="Arial"/>
                <w:sz w:val="17"/>
              </w:rPr>
              <w:t>18.12.2026</w:t>
            </w:r>
          </w:p>
        </w:tc>
      </w:tr>
      <w:tr>
        <w:trPr>
          <w:cantSplit/>
        </w:trPr>
        <w:tc>
          <w:tcPr>
            <w:tcW w:type="dxa" w:w="4933"/>
            <w:vAlign w:val="center"/>
            <w:tcMar>
              <w:top w:w="90" w:type="dxa"/>
              <w:start w:w="90" w:type="dxa"/>
              <w:bottom w:w="90" w:type="dxa"/>
              <w:end w:w="90" w:type="dxa"/>
            </w:tcMar>
          </w:tcPr>
          <w:p>
            <w:r>
              <w:rPr>
                <w:rFonts w:ascii="Arial" w:hAnsi="Arial"/>
                <w:sz w:val="17"/>
              </w:rPr>
              <w:t>Voraussichtlicher Projektstart</w:t>
            </w:r>
          </w:p>
        </w:tc>
        <w:tc>
          <w:tcPr>
            <w:tcW w:type="dxa" w:w="4933"/>
            <w:vAlign w:val="center"/>
            <w:tcMar>
              <w:top w:w="90" w:type="dxa"/>
              <w:start w:w="90" w:type="dxa"/>
              <w:bottom w:w="90" w:type="dxa"/>
              <w:end w:w="90" w:type="dxa"/>
            </w:tcMar>
          </w:tcPr>
          <w:p>
            <w:r>
              <w:rPr>
                <w:rFonts w:ascii="Arial" w:hAnsi="Arial"/>
                <w:sz w:val="17"/>
              </w:rPr>
              <w:t>18.01.2027</w:t>
            </w:r>
            <w:r>
              <w:rPr>
                <w:rStyle w:val="CommentReference"/>
              </w:rPr>
            </w:r>
          </w:p>
        </w:tc>
      </w:tr>
      <w:tr>
        <w:trPr>
          <w:cantSplit/>
        </w:trPr>
        <w:tc>
          <w:tcPr>
            <w:tcW w:type="dxa" w:w="4933"/>
            <w:vAlign w:val="center"/>
            <w:tcMar>
              <w:top w:w="90" w:type="dxa"/>
              <w:start w:w="90" w:type="dxa"/>
              <w:bottom w:w="90" w:type="dxa"/>
              <w:end w:w="90" w:type="dxa"/>
            </w:tcMar>
          </w:tcPr>
          <w:p>
            <w:r>
              <w:rPr>
                <w:rFonts w:ascii="Arial" w:hAnsi="Arial"/>
                <w:sz w:val="17"/>
              </w:rPr>
              <w:t>Bindefrist</w:t>
            </w:r>
          </w:p>
        </w:tc>
        <w:tc>
          <w:tcPr>
            <w:tcW w:type="dxa" w:w="4933"/>
            <w:vAlign w:val="center"/>
            <w:tcMar>
              <w:top w:w="90" w:type="dxa"/>
              <w:start w:w="90" w:type="dxa"/>
              <w:bottom w:w="90" w:type="dxa"/>
              <w:end w:w="90" w:type="dxa"/>
            </w:tcMar>
          </w:tcPr>
          <w:p>
            <w:r>
              <w:rPr>
                <w:rFonts w:ascii="Arial" w:hAnsi="Arial"/>
                <w:sz w:val="17"/>
              </w:rPr>
              <w:t>31.01.2027</w:t>
            </w:r>
          </w:p>
        </w:tc>
      </w:tr>
    </w:tbl>
    <w:p>
      <w:r>
        <w:rPr/>
        <w:t>Maßgeblich sind ausschließlich die in DTVP und der EU-Bekanntmachung veröffentlichten Fristen. Änderungen werden über DTVP bekanntgegeben.</w:t>
      </w:r>
    </w:p>
    <w:p>
      <w:pPr>
        <w:pStyle w:val="Heading1"/>
      </w:pPr>
      <w:r>
        <w:rPr/>
        <w:t>5. Bieterfragen und Änderungen</w:t>
      </w:r>
    </w:p>
    <w:p>
      <w:pPr>
        <w:pStyle w:val="ListBullet"/>
      </w:pPr>
      <w:r>
        <w:rPr/>
        <w:t>Bieterfragen sind ausschließlich über DTVP einzureichen.</w:t>
      </w:r>
    </w:p>
    <w:p>
      <w:pPr>
        <w:pStyle w:val="ListBullet"/>
      </w:pPr>
      <w:r>
        <w:rPr/>
        <w:t>Antworten werden in zwei gebündelten Runden am 28.10. und 09.11.2026 über DTVP allen betroffenen Unternehmen gleichermaßen bereitgestellt. Erforderliche wesentliche Klarstellungen können früher erfolgen. Die Fristen der Bekanntmachung und DTVP bleiben maßgeblich.</w:t>
      </w:r>
    </w:p>
    <w:p>
      <w:pPr>
        <w:pStyle w:val="ListBullet"/>
      </w:pPr>
      <w:r>
        <w:rPr/>
        <w:t>Wesentliche Änderungen der Unterlagen oder nicht rechtzeitig bereitgestellte, rechtzeitig angeforderte Informationen können eine Verlängerung der Angebotsfrist erforderlich machen. Maßgeblich ist § 20 VgV; Änderungen und neue Fristen werden über DTVP bekanntgegeben.</w:t>
      </w:r>
    </w:p>
    <w:p>
      <w:pPr>
        <w:pStyle w:val="ListBullet"/>
      </w:pPr>
      <w:r>
        <w:rPr/>
        <w:t>Im offenen Verfahren finden keine Verhandlungen über Angebot oder Preise statt. Zulässig sind ausschließlich Aufklärungen im rechtlich zulässigen Umfang.</w:t>
      </w:r>
    </w:p>
    <w:p>
      <w:pPr>
        <w:pStyle w:val="Heading1"/>
      </w:pPr>
      <w:r>
        <w:rPr/>
        <w:t>6. Mit dem Angebot einzureichende Unterlagen</w:t>
      </w:r>
    </w:p>
    <w:p>
      <w:pPr>
        <w:pStyle w:val="ListBullet"/>
      </w:pPr>
      <w:r>
        <w:rPr/>
        <w:t>1.01 Angebotsschreiben</w:t>
      </w:r>
    </w:p>
    <w:p>
      <w:pPr>
        <w:pStyle w:val="ListBullet"/>
      </w:pPr>
      <w:r>
        <w:rPr/>
        <w:t>ausgefülltes Leistungsverzeichnis / Preisblatt</w:t>
      </w:r>
    </w:p>
    <w:p>
      <w:pPr>
        <w:pStyle w:val="ListBullet"/>
      </w:pPr>
      <w:r>
        <w:rPr/>
        <w:t>Migrationskonzept</w:t>
      </w:r>
    </w:p>
    <w:p>
      <w:pPr>
        <w:pStyle w:val="ListBullet"/>
      </w:pPr>
      <w:r>
        <w:rPr/>
        <w:t>Betriebskonzept</w:t>
      </w:r>
    </w:p>
    <w:p>
      <w:pPr>
        <w:pStyle w:val="ListBullet"/>
      </w:pPr>
      <w:r>
        <w:rPr/>
        <w:t>1.02 Eigenerklärung zur Eignung</w:t>
      </w:r>
    </w:p>
    <w:p>
      <w:pPr>
        <w:pStyle w:val="ListBullet"/>
      </w:pPr>
      <w:r>
        <w:rPr/>
        <w:t>1.03 Referenzbogen / Referenznachweise</w:t>
      </w:r>
    </w:p>
    <w:p>
      <w:pPr>
        <w:pStyle w:val="ListBullet"/>
      </w:pPr>
      <w:r>
        <w:rPr/>
        <w:t>1.04 Verpflichtungserklärung HVTG</w:t>
      </w:r>
    </w:p>
    <w:p>
      <w:pPr>
        <w:pStyle w:val="ListBullet"/>
      </w:pPr>
      <w:r>
        <w:rPr/>
        <w:t>1.05 Antikorruption</w:t>
      </w:r>
    </w:p>
    <w:p>
      <w:pPr>
        <w:pStyle w:val="ListBullet"/>
      </w:pPr>
      <w:r>
        <w:rPr/>
        <w:t>1.06 Russland-Sanktionen</w:t>
      </w:r>
    </w:p>
    <w:p>
      <w:pPr>
        <w:pStyle w:val="ListBullet"/>
      </w:pPr>
      <w:r>
        <w:rPr/>
        <w:t>1.07 Datenschutz und 4.03 Datenschutz-/TOM-Selbstauskunft</w:t>
      </w:r>
    </w:p>
    <w:p>
      <w:pPr>
        <w:pStyle w:val="ListBullet"/>
      </w:pPr>
      <w:r>
        <w:rPr/>
        <w:t>1.08 Bietergemeinschaftserklärung (falls einschlägig)</w:t>
      </w:r>
    </w:p>
    <w:p>
      <w:pPr>
        <w:pStyle w:val="ListBullet"/>
      </w:pPr>
      <w:r>
        <w:t>1.09 Amtliches Verzeichnis der Leistungen/Kapazitäten anderer Unternehmen (VHB 235, falls einschlägig); 1.10 amtliche Verpflichtungserklärung anderer Unternehmen (VHB 236, bei Eignungsleihe mit dem Angebot, bei bloßem Unterauftrag auf Anforderung)</w:t>
      </w:r>
    </w:p>
    <w:p>
      <w:pPr>
        <w:pStyle w:val="ListBullet"/>
      </w:pPr>
      <w:r>
        <w:rPr/>
        <w:t>1.11 Fachliche Eignung / Projektteam</w:t>
      </w:r>
    </w:p>
    <w:p>
      <w:pPr>
        <w:pStyle w:val="ListBullet"/>
      </w:pPr>
      <w:r>
        <w:rPr/>
        <w:t>produkt-/leistungsbezogene Nachweise gemäß LV</w:t>
      </w:r>
    </w:p>
    <w:p>
      <w:pPr>
        <w:pStyle w:val="Heading1"/>
      </w:pPr>
      <w:r>
        <w:rPr/>
        <w:t>7. Zuschlagsentscheidung</w:t>
      </w:r>
    </w:p>
    <w:p>
      <w:r>
        <w:rPr/>
        <w:t>Der Zuschlag wird auf das wirtschaftlichste Angebot nach der veröffentlichten Bewertungsmatrix erteilt. Ausschluss- bzw. Mindestanforderungen werden nicht durch Mehrpunkte in anderen Kriterien kompensiert.</w:t>
      </w:r>
    </w:p>
    <w:p>
      <w:r>
        <w:rPr/>
        <w:t>Die qualitative Bewertung erfolgt mit der Skala 0 / 1 / 3 / 5 / 7 Punkten anhand absoluter, vorab veröffentlichter Bewertungsmaßstäbe.</w:t>
      </w:r>
    </w:p>
    <w:p>
      <w:pPr>
        <w:pStyle w:val="Heading1"/>
      </w:pPr>
      <w:r>
        <w:rPr/>
        <w:t>8. Vertragsgrundlagen</w:t>
      </w:r>
    </w:p>
    <w:p>
      <w:r>
        <w:rPr/>
        <w:t>Vertragsgrundlage ist der EVB-IT Systemvertrag Version 3.0.0 vom 01.03.2026 einschließlich Systemservice, der EVB-IT System-AGB und der im Vertragsformular aufgeführten Anlagen. Die Vergütung ergibt sich aus dem bezuschlagten Preisblatt.</w:t>
      </w:r>
      <w:r>
        <w:rPr>
          <w:rStyle w:val="CommentReference"/>
        </w:rPr>
      </w:r>
    </w:p>
    <w:p>
      <w:r>
        <w:rPr/>
        <w:t>Der Systemservice beginnt am Tag nach der Abnahme des Gesamtsystems und läuft zunächst zwölf Monate. Der Auftraggeber kann die Laufzeit bis zu dreimal einseitig um jeweils zwölf Monate verlängern. Die Ausübung einer Option wird mindestens drei Monate vor Ablauf der jeweiligen Laufzeit in Textform erklärt. Die Gesamtlaufzeit beträgt höchstens 48 Monate; ein Anspruch auf Verlängerung besteht nicht. Die Optionspreise sind Teil der Angebotswertung.</w:t>
      </w:r>
    </w:p>
    <w:p>
      <w:pPr>
        <w:pStyle w:val="Heading1"/>
      </w:pPr>
      <w:r>
        <w:rPr/>
        <w:t>9. Datenschutz</w:t>
      </w:r>
    </w:p>
    <w:p>
      <w:r>
        <w:rPr/>
        <w:t>Die Vereinbarung zur Auftragsverarbeitung (4.02) und die vom Bieter auszufüllende Datenschutz-/TOM-Selbstauskunft (4.03) sind Bestandteil der Vergabeunterlagen. Die bestehende TOM-Checkliste der Auftraggeberin ist kein Nachweis des Bieters.</w:t>
      </w:r>
      <w:r>
        <w:rPr>
          <w:rStyle w:val="CommentReference"/>
        </w:rPr>
      </w:r>
    </w:p>
    <w:sectPr w:rsidR="00FC693F" w:rsidRPr="0006063C" w:rsidSect="00034616">
      <w:headerReference w:type="default" r:id="rId10"/>
      <w:headerReference w:type="first" r:id="rId11"/>
      <w:headerReference w:type="even" r:id="rId12"/>
      <w:footerReference w:type="default" r:id="rId13"/>
      <w:footerReference w:type="first" r:id="rId14"/>
      <w:footerReference w:type="even" r:id="rId15"/>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4E7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4E7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4E78"/>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4E7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Wijasuriya</dc:creator>
  <cp:keywords/>
  <dc:description/>
  <cp:lastModifiedBy>Pascal Wijasuriya</cp:lastModifiedBy>
  <cp:revision>1</cp:revision>
  <dcterms:created xsi:type="dcterms:W3CDTF">2026-09-23T13:06:00Z</dcterms:created>
  <dcterms:modified xsi:type="dcterms:W3CDTF">2026-09-24T08:41:00Z</dcterms:modified>
  <cp:category/>
</cp:coreProperties>
</file>