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C376AA" w14:textId="77777777" w:rsidR="00182F3A" w:rsidRDefault="009308AB">
      <w:pPr>
        <w:pStyle w:val="Heading1"/>
        <w:rPr>
          <w:smallCaps/>
        </w:rPr>
      </w:pPr>
      <w:r>
        <w:rPr>
          <w:smallCaps/>
        </w:rPr>
        <w:t>VERFAHRENSBEDINGUNGEN</w:t>
      </w:r>
      <w:bookmarkStart w:id="0" w:name="bookmark=id.gjdgxs" w:colFirst="0" w:colLast="0"/>
      <w:bookmarkEnd w:id="0"/>
    </w:p>
    <w:p w14:paraId="35C376AB" w14:textId="77777777" w:rsidR="00182F3A" w:rsidRDefault="009308AB">
      <w:pPr>
        <w:pStyle w:val="Heading1"/>
        <w:rPr>
          <w:smallCaps/>
        </w:rPr>
      </w:pPr>
      <w:r>
        <w:t>Auftragsgegenstand</w:t>
      </w:r>
    </w:p>
    <w:p w14:paraId="35C376AC" w14:textId="77777777" w:rsidR="00182F3A" w:rsidRDefault="009308AB">
      <w:pPr>
        <w:pBdr>
          <w:top w:val="nil"/>
          <w:left w:val="nil"/>
          <w:bottom w:val="nil"/>
          <w:right w:val="nil"/>
          <w:between w:val="nil"/>
        </w:pBdr>
        <w:spacing w:before="120" w:after="120"/>
        <w:ind w:left="567" w:right="108"/>
        <w:jc w:val="both"/>
        <w:rPr>
          <w:rFonts w:ascii="Arial" w:eastAsia="Arial" w:hAnsi="Arial" w:cs="Arial"/>
          <w:color w:val="000000"/>
          <w:sz w:val="20"/>
          <w:szCs w:val="20"/>
        </w:rPr>
      </w:pPr>
      <w:r>
        <w:rPr>
          <w:rFonts w:ascii="Arial" w:eastAsia="Arial" w:hAnsi="Arial" w:cs="Arial"/>
          <w:color w:val="000000"/>
          <w:sz w:val="20"/>
          <w:szCs w:val="20"/>
        </w:rPr>
        <w:t>Akademie für Populäre Musik e.V (oder „</w:t>
      </w:r>
      <w:r>
        <w:rPr>
          <w:rFonts w:ascii="Arial" w:eastAsia="Arial" w:hAnsi="Arial" w:cs="Arial"/>
          <w:b/>
          <w:bCs/>
          <w:color w:val="000000"/>
          <w:sz w:val="20"/>
          <w:szCs w:val="20"/>
        </w:rPr>
        <w:t>Auftraggeber</w:t>
      </w:r>
      <w:r>
        <w:rPr>
          <w:rFonts w:ascii="Arial" w:eastAsia="Arial" w:hAnsi="Arial" w:cs="Arial"/>
          <w:color w:val="000000"/>
          <w:sz w:val="20"/>
          <w:szCs w:val="20"/>
        </w:rPr>
        <w:t xml:space="preserve">“) beabsichtigt, einen Auftrag über </w:t>
      </w:r>
      <w:r>
        <w:rPr>
          <w:rFonts w:ascii="Arial" w:eastAsia="Arial" w:hAnsi="Arial" w:cs="Arial"/>
          <w:sz w:val="20"/>
          <w:szCs w:val="20"/>
        </w:rPr>
        <w:t xml:space="preserve">die Durchführung von POLYTON – Preisverleihung und weitere Veranstaltungen </w:t>
      </w:r>
      <w:r>
        <w:rPr>
          <w:rFonts w:ascii="Arial" w:eastAsia="Arial" w:hAnsi="Arial" w:cs="Arial"/>
          <w:color w:val="000000"/>
          <w:sz w:val="20"/>
          <w:szCs w:val="20"/>
        </w:rPr>
        <w:t>gemäß den beiliegenden Unterlagen zu vergeben. Eine genaue Beschreibung der erforderlichen Leistungsmerkmale ist der Leistungsbeschreibung und den Anlagen zu entnehmen.</w:t>
      </w:r>
    </w:p>
    <w:p w14:paraId="35C376AD" w14:textId="77777777" w:rsidR="00182F3A" w:rsidRDefault="009308AB">
      <w:pPr>
        <w:pStyle w:val="Heading2"/>
        <w:numPr>
          <w:ilvl w:val="0"/>
          <w:numId w:val="5"/>
        </w:numPr>
        <w:rPr>
          <w:smallCaps/>
        </w:rPr>
      </w:pPr>
      <w:r>
        <w:t>Lose</w:t>
      </w:r>
    </w:p>
    <w:p w14:paraId="35C376AE" w14:textId="77777777" w:rsidR="00182F3A" w:rsidRDefault="009308AB">
      <w:pPr>
        <w:pBdr>
          <w:top w:val="nil"/>
          <w:left w:val="nil"/>
          <w:bottom w:val="nil"/>
          <w:right w:val="nil"/>
          <w:between w:val="nil"/>
        </w:pBdr>
        <w:spacing w:before="120" w:after="120"/>
        <w:ind w:left="567" w:right="108"/>
        <w:jc w:val="both"/>
        <w:rPr>
          <w:rFonts w:ascii="Arial" w:eastAsia="Arial" w:hAnsi="Arial" w:cs="Arial"/>
          <w:color w:val="000000"/>
          <w:sz w:val="20"/>
          <w:szCs w:val="20"/>
        </w:rPr>
      </w:pPr>
      <w:r>
        <w:rPr>
          <w:rFonts w:ascii="Arial" w:eastAsia="Arial" w:hAnsi="Arial" w:cs="Arial"/>
          <w:color w:val="000000"/>
          <w:sz w:val="20"/>
          <w:szCs w:val="20"/>
        </w:rPr>
        <w:t>Lose i. S. v. § 30 Abs. 1 - 3 VgV werden nicht gebildet.</w:t>
      </w:r>
    </w:p>
    <w:p w14:paraId="35C376AF" w14:textId="77777777" w:rsidR="00182F3A" w:rsidRDefault="009308AB">
      <w:pPr>
        <w:pStyle w:val="Heading2"/>
        <w:numPr>
          <w:ilvl w:val="0"/>
          <w:numId w:val="5"/>
        </w:numPr>
        <w:rPr>
          <w:smallCaps/>
        </w:rPr>
      </w:pPr>
      <w:r>
        <w:t>Vergabeart</w:t>
      </w:r>
    </w:p>
    <w:p w14:paraId="35C376B0" w14:textId="77777777" w:rsidR="00182F3A" w:rsidRDefault="009308AB">
      <w:pPr>
        <w:pBdr>
          <w:top w:val="nil"/>
          <w:left w:val="nil"/>
          <w:bottom w:val="nil"/>
          <w:right w:val="nil"/>
          <w:between w:val="nil"/>
        </w:pBdr>
        <w:spacing w:before="120" w:after="120"/>
        <w:ind w:left="567" w:right="108"/>
        <w:jc w:val="both"/>
        <w:rPr>
          <w:rFonts w:ascii="Arial" w:eastAsia="Arial" w:hAnsi="Arial" w:cs="Arial"/>
          <w:color w:val="000000"/>
          <w:sz w:val="20"/>
          <w:szCs w:val="20"/>
        </w:rPr>
      </w:pPr>
      <w:r>
        <w:rPr>
          <w:rFonts w:ascii="Arial" w:eastAsia="Arial" w:hAnsi="Arial" w:cs="Arial"/>
          <w:color w:val="000000"/>
          <w:sz w:val="20"/>
          <w:szCs w:val="20"/>
        </w:rPr>
        <w:t xml:space="preserve">Das Vergabeverfahren wird als offenes Verfahren nach den §§ 97 ff. GWB, 15 VgV geführt. </w:t>
      </w:r>
    </w:p>
    <w:p w14:paraId="35C376B1" w14:textId="77777777" w:rsidR="00182F3A" w:rsidRDefault="009308AB">
      <w:pPr>
        <w:pStyle w:val="Heading2"/>
        <w:numPr>
          <w:ilvl w:val="0"/>
          <w:numId w:val="5"/>
        </w:numPr>
        <w:rPr>
          <w:smallCaps/>
        </w:rPr>
      </w:pPr>
      <w:r>
        <w:t>Verfahrensfristen</w:t>
      </w:r>
    </w:p>
    <w:p w14:paraId="35C376B2" w14:textId="77777777" w:rsidR="00182F3A" w:rsidRDefault="009308AB">
      <w:pPr>
        <w:pBdr>
          <w:top w:val="nil"/>
          <w:left w:val="nil"/>
          <w:bottom w:val="nil"/>
          <w:right w:val="nil"/>
          <w:between w:val="nil"/>
        </w:pBdr>
        <w:spacing w:before="120" w:after="120"/>
        <w:ind w:left="567" w:right="108"/>
        <w:jc w:val="both"/>
        <w:rPr>
          <w:rFonts w:ascii="Arial" w:eastAsia="Arial" w:hAnsi="Arial" w:cs="Arial"/>
          <w:color w:val="000000"/>
          <w:sz w:val="20"/>
          <w:szCs w:val="20"/>
        </w:rPr>
      </w:pPr>
      <w:r>
        <w:rPr>
          <w:rFonts w:ascii="Arial" w:eastAsia="Arial" w:hAnsi="Arial" w:cs="Arial"/>
          <w:color w:val="000000"/>
          <w:sz w:val="20"/>
          <w:szCs w:val="20"/>
        </w:rPr>
        <w:t>Für den weiteren Ablauf ist der folgende Zeitplan maßgebend:</w:t>
      </w:r>
    </w:p>
    <w:tbl>
      <w:tblPr>
        <w:tblStyle w:val="a"/>
        <w:tblW w:w="8358"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26"/>
        <w:gridCol w:w="5032"/>
      </w:tblGrid>
      <w:tr w:rsidR="00182F3A" w14:paraId="35C376B5" w14:textId="77777777">
        <w:trPr>
          <w:trHeight w:val="531"/>
        </w:trPr>
        <w:tc>
          <w:tcPr>
            <w:tcW w:w="3326" w:type="dxa"/>
            <w:shd w:val="clear" w:color="auto" w:fill="F2F2F2"/>
            <w:vAlign w:val="center"/>
          </w:tcPr>
          <w:p w14:paraId="35C376B3" w14:textId="77777777" w:rsidR="00182F3A" w:rsidRDefault="009308AB">
            <w:pPr>
              <w:pBdr>
                <w:top w:val="nil"/>
                <w:left w:val="nil"/>
                <w:bottom w:val="nil"/>
                <w:right w:val="nil"/>
                <w:between w:val="nil"/>
              </w:pBdr>
              <w:spacing w:before="120" w:after="120"/>
              <w:ind w:right="108"/>
              <w:rPr>
                <w:rFonts w:ascii="Arial" w:eastAsia="Arial" w:hAnsi="Arial" w:cs="Arial"/>
                <w:color w:val="000000"/>
                <w:sz w:val="20"/>
                <w:szCs w:val="20"/>
              </w:rPr>
            </w:pPr>
            <w:r>
              <w:rPr>
                <w:rFonts w:ascii="Arial" w:eastAsia="Arial" w:hAnsi="Arial" w:cs="Arial"/>
                <w:color w:val="000000"/>
                <w:sz w:val="20"/>
                <w:szCs w:val="20"/>
              </w:rPr>
              <w:t>Rückfragen zu den Vergabeunterlagen bis:</w:t>
            </w:r>
          </w:p>
        </w:tc>
        <w:tc>
          <w:tcPr>
            <w:tcW w:w="5032" w:type="dxa"/>
            <w:vAlign w:val="center"/>
          </w:tcPr>
          <w:p w14:paraId="35C376B4" w14:textId="77777777" w:rsidR="00182F3A" w:rsidRDefault="009308AB">
            <w:pPr>
              <w:spacing w:before="120" w:after="120"/>
              <w:rPr>
                <w:rFonts w:ascii="Arial" w:eastAsia="Arial" w:hAnsi="Arial" w:cs="Arial"/>
                <w:sz w:val="20"/>
                <w:szCs w:val="20"/>
              </w:rPr>
            </w:pPr>
            <w:r>
              <w:t xml:space="preserve">     </w:t>
            </w:r>
            <w:r>
              <w:rPr>
                <w:rFonts w:ascii="Arial" w:eastAsia="Arial" w:hAnsi="Arial" w:cs="Arial"/>
                <w:sz w:val="20"/>
                <w:szCs w:val="20"/>
              </w:rPr>
              <w:t>08.09.2026</w:t>
            </w:r>
          </w:p>
        </w:tc>
      </w:tr>
      <w:tr w:rsidR="00182F3A" w14:paraId="35C376B8" w14:textId="77777777">
        <w:trPr>
          <w:trHeight w:val="531"/>
        </w:trPr>
        <w:tc>
          <w:tcPr>
            <w:tcW w:w="3326" w:type="dxa"/>
            <w:shd w:val="clear" w:color="auto" w:fill="F2F2F2"/>
            <w:vAlign w:val="center"/>
          </w:tcPr>
          <w:p w14:paraId="35C376B6" w14:textId="77777777" w:rsidR="00182F3A" w:rsidRDefault="009308AB">
            <w:pPr>
              <w:pBdr>
                <w:top w:val="nil"/>
                <w:left w:val="nil"/>
                <w:bottom w:val="nil"/>
                <w:right w:val="nil"/>
                <w:between w:val="nil"/>
              </w:pBdr>
              <w:spacing w:before="120" w:after="120"/>
              <w:ind w:right="108"/>
              <w:jc w:val="both"/>
              <w:rPr>
                <w:rFonts w:ascii="Arial" w:eastAsia="Arial" w:hAnsi="Arial" w:cs="Arial"/>
                <w:color w:val="000000"/>
                <w:sz w:val="20"/>
                <w:szCs w:val="20"/>
              </w:rPr>
            </w:pPr>
            <w:r>
              <w:rPr>
                <w:rFonts w:ascii="Arial" w:eastAsia="Arial" w:hAnsi="Arial" w:cs="Arial"/>
                <w:color w:val="000000"/>
                <w:sz w:val="20"/>
                <w:szCs w:val="20"/>
              </w:rPr>
              <w:t>Angebotsfrist:</w:t>
            </w:r>
          </w:p>
        </w:tc>
        <w:tc>
          <w:tcPr>
            <w:tcW w:w="5032" w:type="dxa"/>
            <w:vAlign w:val="center"/>
          </w:tcPr>
          <w:p w14:paraId="35C376B7" w14:textId="77777777" w:rsidR="00182F3A" w:rsidRDefault="009308AB">
            <w:pPr>
              <w:spacing w:before="120" w:after="120"/>
              <w:rPr>
                <w:rFonts w:ascii="Arial" w:eastAsia="Arial" w:hAnsi="Arial" w:cs="Arial"/>
                <w:i/>
                <w:iCs/>
                <w:sz w:val="20"/>
                <w:szCs w:val="20"/>
              </w:rPr>
            </w:pPr>
            <w:r>
              <w:t xml:space="preserve">     </w:t>
            </w:r>
            <w:r>
              <w:rPr>
                <w:rFonts w:ascii="Arial" w:eastAsia="Arial" w:hAnsi="Arial" w:cs="Arial"/>
                <w:sz w:val="20"/>
                <w:szCs w:val="20"/>
              </w:rPr>
              <w:t>15.09.2026</w:t>
            </w:r>
          </w:p>
        </w:tc>
      </w:tr>
      <w:tr w:rsidR="00182F3A" w14:paraId="35C376BB" w14:textId="77777777">
        <w:trPr>
          <w:trHeight w:val="540"/>
        </w:trPr>
        <w:tc>
          <w:tcPr>
            <w:tcW w:w="3326" w:type="dxa"/>
            <w:shd w:val="clear" w:color="auto" w:fill="F2F2F2"/>
            <w:vAlign w:val="center"/>
          </w:tcPr>
          <w:p w14:paraId="35C376B9" w14:textId="77777777" w:rsidR="00182F3A" w:rsidRDefault="009308AB">
            <w:pPr>
              <w:pBdr>
                <w:top w:val="nil"/>
                <w:left w:val="nil"/>
                <w:bottom w:val="nil"/>
                <w:right w:val="nil"/>
                <w:between w:val="nil"/>
              </w:pBdr>
              <w:spacing w:before="120" w:after="120"/>
              <w:ind w:right="108"/>
              <w:jc w:val="both"/>
              <w:rPr>
                <w:rFonts w:ascii="Arial" w:eastAsia="Arial" w:hAnsi="Arial" w:cs="Arial"/>
                <w:color w:val="000000"/>
                <w:sz w:val="20"/>
                <w:szCs w:val="20"/>
              </w:rPr>
            </w:pPr>
            <w:r>
              <w:rPr>
                <w:rFonts w:ascii="Arial" w:eastAsia="Arial" w:hAnsi="Arial" w:cs="Arial"/>
                <w:color w:val="000000"/>
                <w:sz w:val="20"/>
                <w:szCs w:val="20"/>
              </w:rPr>
              <w:t>Bindefrist:</w:t>
            </w:r>
          </w:p>
        </w:tc>
        <w:tc>
          <w:tcPr>
            <w:tcW w:w="5032" w:type="dxa"/>
            <w:vAlign w:val="center"/>
          </w:tcPr>
          <w:p w14:paraId="35C376BA" w14:textId="77777777" w:rsidR="00182F3A" w:rsidRDefault="009308AB">
            <w:pPr>
              <w:pBdr>
                <w:top w:val="nil"/>
                <w:left w:val="nil"/>
                <w:bottom w:val="nil"/>
                <w:right w:val="nil"/>
                <w:between w:val="nil"/>
              </w:pBdr>
              <w:spacing w:before="120" w:after="120"/>
              <w:ind w:right="108"/>
              <w:rPr>
                <w:rFonts w:ascii="Arial" w:eastAsia="Arial" w:hAnsi="Arial" w:cs="Arial"/>
                <w:color w:val="000000"/>
                <w:sz w:val="20"/>
                <w:szCs w:val="20"/>
              </w:rPr>
            </w:pPr>
            <w:r>
              <w:t xml:space="preserve">     </w:t>
            </w:r>
            <w:r>
              <w:rPr>
                <w:rFonts w:ascii="Arial" w:eastAsia="Arial" w:hAnsi="Arial" w:cs="Arial"/>
                <w:color w:val="000000"/>
                <w:sz w:val="20"/>
                <w:szCs w:val="20"/>
              </w:rPr>
              <w:t>15.11.2026</w:t>
            </w:r>
          </w:p>
        </w:tc>
      </w:tr>
      <w:tr w:rsidR="00182F3A" w14:paraId="35C376BE" w14:textId="77777777">
        <w:trPr>
          <w:trHeight w:val="540"/>
        </w:trPr>
        <w:tc>
          <w:tcPr>
            <w:tcW w:w="3326" w:type="dxa"/>
            <w:shd w:val="clear" w:color="auto" w:fill="F2F2F2"/>
            <w:vAlign w:val="center"/>
          </w:tcPr>
          <w:p w14:paraId="35C376BC" w14:textId="77777777" w:rsidR="00182F3A" w:rsidRDefault="009308AB">
            <w:pPr>
              <w:pBdr>
                <w:top w:val="nil"/>
                <w:left w:val="nil"/>
                <w:bottom w:val="nil"/>
                <w:right w:val="nil"/>
                <w:between w:val="nil"/>
              </w:pBdr>
              <w:spacing w:before="120" w:after="120"/>
              <w:ind w:right="108"/>
              <w:jc w:val="both"/>
              <w:rPr>
                <w:rFonts w:ascii="Arial" w:eastAsia="Arial" w:hAnsi="Arial" w:cs="Arial"/>
                <w:color w:val="000000"/>
                <w:sz w:val="20"/>
                <w:szCs w:val="20"/>
              </w:rPr>
            </w:pPr>
            <w:r>
              <w:rPr>
                <w:rFonts w:ascii="Arial" w:eastAsia="Arial" w:hAnsi="Arial" w:cs="Arial"/>
                <w:color w:val="000000"/>
                <w:sz w:val="20"/>
                <w:szCs w:val="20"/>
              </w:rPr>
              <w:t>Start / Ende der Leistung:</w:t>
            </w:r>
          </w:p>
        </w:tc>
        <w:tc>
          <w:tcPr>
            <w:tcW w:w="5032" w:type="dxa"/>
            <w:vAlign w:val="center"/>
          </w:tcPr>
          <w:p w14:paraId="35C376BD" w14:textId="77777777" w:rsidR="00182F3A" w:rsidRDefault="009308AB">
            <w:pPr>
              <w:pBdr>
                <w:top w:val="nil"/>
                <w:left w:val="nil"/>
                <w:bottom w:val="nil"/>
                <w:right w:val="nil"/>
                <w:between w:val="nil"/>
              </w:pBdr>
              <w:spacing w:before="120" w:after="120"/>
              <w:ind w:right="108"/>
              <w:rPr>
                <w:rFonts w:ascii="Arial" w:eastAsia="Arial" w:hAnsi="Arial" w:cs="Arial"/>
                <w:color w:val="000000"/>
                <w:sz w:val="20"/>
                <w:szCs w:val="20"/>
                <w:highlight w:val="yellow"/>
              </w:rPr>
            </w:pPr>
            <w:r>
              <w:rPr>
                <w:rFonts w:ascii="Arial" w:eastAsia="Arial" w:hAnsi="Arial" w:cs="Arial"/>
                <w:color w:val="000000"/>
                <w:sz w:val="20"/>
                <w:szCs w:val="20"/>
              </w:rPr>
              <w:t>s. Leistungsbeschreibung</w:t>
            </w:r>
          </w:p>
        </w:tc>
      </w:tr>
    </w:tbl>
    <w:p w14:paraId="35C376BF" w14:textId="77777777" w:rsidR="00182F3A" w:rsidRDefault="009308AB">
      <w:pPr>
        <w:pBdr>
          <w:top w:val="nil"/>
          <w:left w:val="nil"/>
          <w:bottom w:val="nil"/>
          <w:right w:val="nil"/>
          <w:between w:val="nil"/>
        </w:pBdr>
        <w:spacing w:before="120" w:after="120"/>
        <w:ind w:left="567" w:right="108"/>
        <w:jc w:val="both"/>
        <w:rPr>
          <w:rFonts w:ascii="Arial" w:eastAsia="Arial" w:hAnsi="Arial" w:cs="Arial"/>
          <w:color w:val="000000"/>
          <w:sz w:val="20"/>
          <w:szCs w:val="20"/>
        </w:rPr>
      </w:pPr>
      <w:r>
        <w:rPr>
          <w:rFonts w:ascii="Arial" w:eastAsia="Arial" w:hAnsi="Arial" w:cs="Arial"/>
          <w:color w:val="000000"/>
          <w:sz w:val="20"/>
          <w:szCs w:val="20"/>
        </w:rPr>
        <w:t xml:space="preserve">Der Auftraggeber behält sich vor, in sachlich gerechtfertigten Fällen von dem o. g. Zeitplan abzuweichen. Die Bieter werden über zeitliche Veränderungen in Kenntnis gesetzt. </w:t>
      </w:r>
    </w:p>
    <w:p w14:paraId="35C376C0" w14:textId="77777777" w:rsidR="00182F3A" w:rsidRDefault="009308AB">
      <w:pPr>
        <w:pStyle w:val="Heading2"/>
        <w:numPr>
          <w:ilvl w:val="0"/>
          <w:numId w:val="5"/>
        </w:numPr>
      </w:pPr>
      <w:bookmarkStart w:id="1" w:name="_heading=h.30j0zll" w:colFirst="0" w:colLast="0"/>
      <w:bookmarkEnd w:id="1"/>
      <w:r>
        <w:t>Vergabeunterlagen</w:t>
      </w:r>
    </w:p>
    <w:p w14:paraId="35C376C1" w14:textId="77777777" w:rsidR="00182F3A" w:rsidRDefault="009308AB">
      <w:pPr>
        <w:spacing w:before="120" w:after="120"/>
        <w:ind w:left="567"/>
        <w:jc w:val="both"/>
        <w:rPr>
          <w:rFonts w:ascii="Arial" w:eastAsia="Arial" w:hAnsi="Arial" w:cs="Arial"/>
          <w:sz w:val="20"/>
          <w:szCs w:val="20"/>
        </w:rPr>
      </w:pPr>
      <w:r>
        <w:rPr>
          <w:rFonts w:ascii="Arial" w:eastAsia="Arial" w:hAnsi="Arial" w:cs="Arial"/>
          <w:sz w:val="20"/>
          <w:szCs w:val="20"/>
        </w:rPr>
        <w:t xml:space="preserve">Neben diesen Verfahrensbedingungen werden den interessierten Unternehmen die in der </w:t>
      </w:r>
      <w:r>
        <w:rPr>
          <w:rFonts w:ascii="Arial" w:eastAsia="Arial" w:hAnsi="Arial" w:cs="Arial"/>
          <w:b/>
          <w:bCs/>
          <w:sz w:val="20"/>
          <w:szCs w:val="20"/>
        </w:rPr>
        <w:t>Anlage 00 „Anlagenverzeichnis“</w:t>
      </w:r>
      <w:r>
        <w:rPr>
          <w:rFonts w:ascii="Arial" w:eastAsia="Arial" w:hAnsi="Arial" w:cs="Arial"/>
          <w:sz w:val="20"/>
          <w:szCs w:val="20"/>
        </w:rPr>
        <w:t xml:space="preserve"> aufgeführten Unterlagen zur Verfügung gestellt.</w:t>
      </w:r>
    </w:p>
    <w:p w14:paraId="35C376C2" w14:textId="77777777" w:rsidR="00182F3A" w:rsidRDefault="009308AB">
      <w:pPr>
        <w:pStyle w:val="Heading2"/>
        <w:numPr>
          <w:ilvl w:val="0"/>
          <w:numId w:val="5"/>
        </w:numPr>
        <w:rPr>
          <w:smallCaps/>
        </w:rPr>
      </w:pPr>
      <w:r>
        <w:t>Angebot</w:t>
      </w:r>
    </w:p>
    <w:p w14:paraId="35C376C3" w14:textId="77777777" w:rsidR="00182F3A" w:rsidRDefault="009308AB">
      <w:pPr>
        <w:numPr>
          <w:ilvl w:val="1"/>
          <w:numId w:val="5"/>
        </w:numPr>
        <w:pBdr>
          <w:top w:val="nil"/>
          <w:left w:val="nil"/>
          <w:bottom w:val="nil"/>
          <w:right w:val="nil"/>
          <w:between w:val="nil"/>
        </w:pBdr>
        <w:spacing w:before="240" w:after="120"/>
        <w:ind w:left="1134" w:right="108" w:hanging="425"/>
        <w:jc w:val="both"/>
        <w:rPr>
          <w:rFonts w:ascii="Arial" w:eastAsia="Arial" w:hAnsi="Arial" w:cs="Arial"/>
          <w:smallCaps/>
          <w:color w:val="000000"/>
        </w:rPr>
      </w:pPr>
      <w:r>
        <w:rPr>
          <w:rFonts w:ascii="Arial" w:eastAsia="Arial" w:hAnsi="Arial" w:cs="Arial"/>
          <w:b/>
          <w:bCs/>
          <w:color w:val="000000"/>
          <w:sz w:val="20"/>
          <w:szCs w:val="20"/>
        </w:rPr>
        <w:t>Form des Angebots</w:t>
      </w:r>
    </w:p>
    <w:p w14:paraId="35C376C4" w14:textId="77777777" w:rsidR="00182F3A" w:rsidRDefault="009308AB">
      <w:pPr>
        <w:spacing w:before="120" w:after="120"/>
        <w:ind w:left="1134"/>
        <w:jc w:val="both"/>
        <w:rPr>
          <w:rFonts w:ascii="Arial" w:eastAsia="Arial" w:hAnsi="Arial" w:cs="Arial"/>
          <w:sz w:val="20"/>
          <w:szCs w:val="20"/>
        </w:rPr>
      </w:pPr>
      <w:r>
        <w:rPr>
          <w:rFonts w:ascii="Arial" w:eastAsia="Arial" w:hAnsi="Arial" w:cs="Arial"/>
          <w:sz w:val="20"/>
          <w:szCs w:val="20"/>
        </w:rPr>
        <w:t xml:space="preserve">Für das Angebot sind die zur Verfügung gestellten Dokumente einschließlich des </w:t>
      </w:r>
      <w:r>
        <w:rPr>
          <w:rFonts w:ascii="Arial" w:eastAsia="Arial" w:hAnsi="Arial" w:cs="Arial"/>
          <w:b/>
          <w:bCs/>
          <w:sz w:val="20"/>
          <w:szCs w:val="20"/>
        </w:rPr>
        <w:t>Formblatts „Angebotsschreiben“</w:t>
      </w:r>
      <w:r>
        <w:rPr>
          <w:rFonts w:ascii="Arial" w:eastAsia="Arial" w:hAnsi="Arial" w:cs="Arial"/>
          <w:sz w:val="20"/>
          <w:szCs w:val="20"/>
        </w:rPr>
        <w:t xml:space="preserve"> (</w:t>
      </w:r>
      <w:r>
        <w:rPr>
          <w:rFonts w:ascii="Arial" w:eastAsia="Arial" w:hAnsi="Arial" w:cs="Arial"/>
          <w:b/>
          <w:bCs/>
          <w:sz w:val="20"/>
          <w:szCs w:val="20"/>
        </w:rPr>
        <w:t>Anlage 01</w:t>
      </w:r>
      <w:r>
        <w:rPr>
          <w:rFonts w:ascii="Arial" w:eastAsia="Arial" w:hAnsi="Arial" w:cs="Arial"/>
          <w:sz w:val="20"/>
          <w:szCs w:val="20"/>
        </w:rPr>
        <w:t xml:space="preserve">) zu verwenden. Reicht der in den Vordrucken vorgesehene Platz nicht aus, kann der Bieter ein Beiblatt beifügen. </w:t>
      </w:r>
    </w:p>
    <w:p w14:paraId="35C376C5" w14:textId="77777777" w:rsidR="00182F3A" w:rsidRDefault="009308AB">
      <w:pPr>
        <w:spacing w:before="120" w:after="120"/>
        <w:ind w:left="1134"/>
        <w:jc w:val="both"/>
        <w:rPr>
          <w:rFonts w:ascii="Arial" w:eastAsia="Arial" w:hAnsi="Arial" w:cs="Arial"/>
          <w:sz w:val="20"/>
          <w:szCs w:val="20"/>
        </w:rPr>
      </w:pPr>
      <w:r>
        <w:rPr>
          <w:rFonts w:ascii="Arial" w:eastAsia="Arial" w:hAnsi="Arial" w:cs="Arial"/>
          <w:sz w:val="20"/>
          <w:szCs w:val="20"/>
        </w:rPr>
        <w:t xml:space="preserve">Die Verfahrenssprache ist Deutsch. Das Angebot ist in deutscher Sprache abzufassen. Der Schriftverkehr im Zusammenhang mit dem Vergabeverfahren und Leistungsausführung wird in deutscher Sprache geführt. </w:t>
      </w:r>
    </w:p>
    <w:p w14:paraId="35C376C6" w14:textId="77777777" w:rsidR="00182F3A" w:rsidRDefault="009308AB">
      <w:pPr>
        <w:spacing w:before="120" w:after="120"/>
        <w:ind w:left="1134"/>
        <w:jc w:val="both"/>
        <w:rPr>
          <w:rFonts w:ascii="Arial" w:eastAsia="Arial" w:hAnsi="Arial" w:cs="Arial"/>
          <w:sz w:val="20"/>
          <w:szCs w:val="20"/>
        </w:rPr>
      </w:pPr>
      <w:r>
        <w:rPr>
          <w:rFonts w:ascii="Arial" w:eastAsia="Arial" w:hAnsi="Arial" w:cs="Arial"/>
          <w:sz w:val="20"/>
          <w:szCs w:val="20"/>
        </w:rPr>
        <w:t xml:space="preserve">Die Angebote sind </w:t>
      </w:r>
      <w:r>
        <w:rPr>
          <w:rFonts w:ascii="Arial" w:eastAsia="Arial" w:hAnsi="Arial" w:cs="Arial"/>
          <w:b/>
          <w:bCs/>
          <w:sz w:val="20"/>
          <w:szCs w:val="20"/>
        </w:rPr>
        <w:t>in Textform nach § 126b BGB elektronisch</w:t>
      </w:r>
      <w:r>
        <w:rPr>
          <w:rFonts w:ascii="Arial" w:eastAsia="Arial" w:hAnsi="Arial" w:cs="Arial"/>
          <w:sz w:val="20"/>
          <w:szCs w:val="20"/>
        </w:rPr>
        <w:t xml:space="preserve"> abzugeben. Hierzu genügt, dass die natürliche Person benannt wird, die die Erklärung abgibt. Diese Voraussetzung wird durch die ordnungsgemäße Nutzung des Bietertools der Vergabeplattform DTVP Deutsches Vergabeportal GmbH unter www.dtvp.de („</w:t>
      </w:r>
      <w:r>
        <w:rPr>
          <w:rFonts w:ascii="Arial" w:eastAsia="Arial" w:hAnsi="Arial" w:cs="Arial"/>
          <w:b/>
          <w:bCs/>
          <w:sz w:val="20"/>
          <w:szCs w:val="20"/>
        </w:rPr>
        <w:t>Vergabeplattform</w:t>
      </w:r>
      <w:r>
        <w:rPr>
          <w:rFonts w:ascii="Arial" w:eastAsia="Arial" w:hAnsi="Arial" w:cs="Arial"/>
          <w:sz w:val="20"/>
          <w:szCs w:val="20"/>
        </w:rPr>
        <w:t xml:space="preserve">“) erfüllt. Somit muss das Angebot und / oder einzelne Formblätter nicht unterschrieben und / oder mit einem Firmenstempel versehen werden. </w:t>
      </w:r>
    </w:p>
    <w:p w14:paraId="35C376C7" w14:textId="77777777" w:rsidR="00182F3A" w:rsidRDefault="009308AB">
      <w:pPr>
        <w:spacing w:before="120" w:after="120"/>
        <w:ind w:left="1134"/>
        <w:jc w:val="both"/>
        <w:rPr>
          <w:rFonts w:ascii="Arial" w:eastAsia="Arial" w:hAnsi="Arial" w:cs="Arial"/>
          <w:sz w:val="20"/>
          <w:szCs w:val="20"/>
        </w:rPr>
      </w:pPr>
      <w:r>
        <w:rPr>
          <w:rFonts w:ascii="Arial" w:eastAsia="Arial" w:hAnsi="Arial" w:cs="Arial"/>
          <w:b/>
          <w:bCs/>
          <w:sz w:val="20"/>
          <w:szCs w:val="20"/>
        </w:rPr>
        <w:t>Erklärungen Dritter</w:t>
      </w:r>
      <w:r>
        <w:rPr>
          <w:rFonts w:ascii="Arial" w:eastAsia="Arial" w:hAnsi="Arial" w:cs="Arial"/>
          <w:sz w:val="20"/>
          <w:szCs w:val="20"/>
        </w:rPr>
        <w:t xml:space="preserve"> im Angebot sind unterschrieben dem Angebot beizufügen. Hierzu können folgende Möglichkeiten genutzt werden:</w:t>
      </w:r>
    </w:p>
    <w:p w14:paraId="35C376C8" w14:textId="77777777" w:rsidR="00182F3A" w:rsidRDefault="009308AB">
      <w:pPr>
        <w:numPr>
          <w:ilvl w:val="0"/>
          <w:numId w:val="7"/>
        </w:numPr>
        <w:pBdr>
          <w:top w:val="nil"/>
          <w:left w:val="nil"/>
          <w:bottom w:val="nil"/>
          <w:right w:val="nil"/>
          <w:between w:val="nil"/>
        </w:pBdr>
        <w:spacing w:before="120" w:after="0"/>
        <w:ind w:left="1775" w:hanging="355"/>
        <w:jc w:val="both"/>
        <w:rPr>
          <w:rFonts w:ascii="Arial" w:eastAsia="Arial" w:hAnsi="Arial" w:cs="Arial"/>
          <w:color w:val="000000"/>
          <w:sz w:val="20"/>
          <w:szCs w:val="20"/>
        </w:rPr>
      </w:pPr>
      <w:r>
        <w:rPr>
          <w:rFonts w:ascii="Arial" w:eastAsia="Arial" w:hAnsi="Arial" w:cs="Arial"/>
          <w:color w:val="000000"/>
          <w:sz w:val="20"/>
          <w:szCs w:val="20"/>
        </w:rPr>
        <w:t>Datei der unterschriebenen und eingescannten Dritterklärung oder</w:t>
      </w:r>
    </w:p>
    <w:p w14:paraId="35C376C9" w14:textId="77777777" w:rsidR="00182F3A" w:rsidRDefault="009308AB">
      <w:pPr>
        <w:numPr>
          <w:ilvl w:val="0"/>
          <w:numId w:val="7"/>
        </w:numPr>
        <w:pBdr>
          <w:top w:val="nil"/>
          <w:left w:val="nil"/>
          <w:bottom w:val="nil"/>
          <w:right w:val="nil"/>
          <w:between w:val="nil"/>
        </w:pBdr>
        <w:spacing w:after="120"/>
        <w:ind w:left="1775" w:hanging="355"/>
        <w:jc w:val="both"/>
        <w:rPr>
          <w:rFonts w:ascii="Arial" w:eastAsia="Arial" w:hAnsi="Arial" w:cs="Arial"/>
          <w:color w:val="000000"/>
          <w:sz w:val="20"/>
          <w:szCs w:val="20"/>
        </w:rPr>
      </w:pPr>
      <w:r>
        <w:rPr>
          <w:rFonts w:ascii="Arial" w:eastAsia="Arial" w:hAnsi="Arial" w:cs="Arial"/>
          <w:color w:val="000000"/>
          <w:sz w:val="20"/>
          <w:szCs w:val="20"/>
        </w:rPr>
        <w:t>Datei der unterschriebenen und abfotografierten Dritterklärung.</w:t>
      </w:r>
    </w:p>
    <w:p w14:paraId="35C376CA" w14:textId="77777777" w:rsidR="00182F3A" w:rsidRDefault="009308AB">
      <w:pPr>
        <w:keepNext/>
        <w:numPr>
          <w:ilvl w:val="1"/>
          <w:numId w:val="5"/>
        </w:numPr>
        <w:pBdr>
          <w:top w:val="nil"/>
          <w:left w:val="nil"/>
          <w:bottom w:val="nil"/>
          <w:right w:val="nil"/>
          <w:between w:val="nil"/>
        </w:pBdr>
        <w:spacing w:before="240" w:after="120"/>
        <w:ind w:left="1134" w:right="170" w:hanging="425"/>
        <w:jc w:val="both"/>
        <w:rPr>
          <w:rFonts w:ascii="Arial" w:eastAsia="Arial" w:hAnsi="Arial" w:cs="Arial"/>
          <w:color w:val="000000"/>
        </w:rPr>
      </w:pPr>
      <w:r>
        <w:rPr>
          <w:rFonts w:ascii="Arial" w:eastAsia="Arial" w:hAnsi="Arial" w:cs="Arial"/>
          <w:b/>
          <w:bCs/>
          <w:color w:val="000000"/>
          <w:sz w:val="20"/>
          <w:szCs w:val="20"/>
        </w:rPr>
        <w:t>Inhalt des Angebots</w:t>
      </w:r>
    </w:p>
    <w:p w14:paraId="35C376CB" w14:textId="77777777" w:rsidR="00182F3A" w:rsidRDefault="009308AB">
      <w:pPr>
        <w:keepNext/>
        <w:pBdr>
          <w:top w:val="nil"/>
          <w:left w:val="nil"/>
          <w:bottom w:val="nil"/>
          <w:right w:val="nil"/>
          <w:between w:val="nil"/>
        </w:pBdr>
        <w:spacing w:before="120" w:after="120"/>
        <w:ind w:left="1134" w:right="170"/>
        <w:jc w:val="both"/>
        <w:rPr>
          <w:rFonts w:ascii="Arial" w:eastAsia="Arial" w:hAnsi="Arial" w:cs="Arial"/>
          <w:color w:val="000000"/>
          <w:sz w:val="20"/>
          <w:szCs w:val="20"/>
        </w:rPr>
      </w:pPr>
      <w:r>
        <w:rPr>
          <w:rFonts w:ascii="Arial" w:eastAsia="Arial" w:hAnsi="Arial" w:cs="Arial"/>
          <w:color w:val="000000"/>
          <w:sz w:val="20"/>
          <w:szCs w:val="20"/>
        </w:rPr>
        <w:t xml:space="preserve">Das Angebot muss zumindest aus den oben genannten sowie den folgenden Unterlagen bestehen: </w:t>
      </w:r>
    </w:p>
    <w:p w14:paraId="35C376CC" w14:textId="77777777" w:rsidR="00182F3A" w:rsidRDefault="009308AB">
      <w:pPr>
        <w:numPr>
          <w:ilvl w:val="2"/>
          <w:numId w:val="1"/>
        </w:numPr>
        <w:pBdr>
          <w:top w:val="nil"/>
          <w:left w:val="nil"/>
          <w:bottom w:val="nil"/>
          <w:right w:val="nil"/>
          <w:between w:val="nil"/>
        </w:pBdr>
        <w:spacing w:before="120" w:after="120"/>
        <w:jc w:val="both"/>
        <w:rPr>
          <w:color w:val="000000"/>
          <w:sz w:val="20"/>
          <w:szCs w:val="20"/>
        </w:rPr>
      </w:pPr>
      <w:r>
        <w:rPr>
          <w:rFonts w:ascii="Arial" w:eastAsia="Arial" w:hAnsi="Arial" w:cs="Arial"/>
          <w:color w:val="000000"/>
          <w:sz w:val="20"/>
          <w:szCs w:val="20"/>
        </w:rPr>
        <w:t xml:space="preserve">Unterschriebener </w:t>
      </w:r>
      <w:r>
        <w:rPr>
          <w:rFonts w:ascii="Arial" w:eastAsia="Arial" w:hAnsi="Arial" w:cs="Arial"/>
          <w:b/>
          <w:bCs/>
          <w:color w:val="000000"/>
          <w:sz w:val="20"/>
          <w:szCs w:val="20"/>
        </w:rPr>
        <w:t>Vertrag (Anlage 02)</w:t>
      </w:r>
    </w:p>
    <w:p w14:paraId="35C376CD" w14:textId="77777777" w:rsidR="00182F3A" w:rsidRDefault="009308AB">
      <w:pPr>
        <w:numPr>
          <w:ilvl w:val="2"/>
          <w:numId w:val="1"/>
        </w:numPr>
        <w:pBdr>
          <w:top w:val="nil"/>
          <w:left w:val="nil"/>
          <w:bottom w:val="nil"/>
          <w:right w:val="nil"/>
          <w:between w:val="nil"/>
        </w:pBdr>
        <w:spacing w:before="120" w:after="120"/>
        <w:jc w:val="both"/>
        <w:rPr>
          <w:color w:val="000000"/>
          <w:sz w:val="20"/>
          <w:szCs w:val="20"/>
        </w:rPr>
      </w:pPr>
      <w:r>
        <w:rPr>
          <w:rFonts w:ascii="Arial" w:eastAsia="Arial" w:hAnsi="Arial" w:cs="Arial"/>
          <w:color w:val="000000"/>
          <w:sz w:val="20"/>
          <w:szCs w:val="20"/>
        </w:rPr>
        <w:t xml:space="preserve">Vollständig ausgefülltes </w:t>
      </w:r>
      <w:r>
        <w:rPr>
          <w:rFonts w:ascii="Arial" w:eastAsia="Arial" w:hAnsi="Arial" w:cs="Arial"/>
          <w:b/>
          <w:bCs/>
          <w:color w:val="000000"/>
          <w:sz w:val="20"/>
          <w:szCs w:val="20"/>
        </w:rPr>
        <w:t>Preisblatt (Anlage 04)</w:t>
      </w:r>
    </w:p>
    <w:p w14:paraId="35C376CE" w14:textId="1E062D49" w:rsidR="00182F3A" w:rsidRDefault="009308AB">
      <w:pPr>
        <w:numPr>
          <w:ilvl w:val="2"/>
          <w:numId w:val="1"/>
        </w:numPr>
        <w:pBdr>
          <w:top w:val="nil"/>
          <w:left w:val="nil"/>
          <w:bottom w:val="nil"/>
          <w:right w:val="nil"/>
          <w:between w:val="nil"/>
        </w:pBdr>
        <w:spacing w:before="120" w:after="120"/>
        <w:jc w:val="both"/>
        <w:rPr>
          <w:color w:val="000000"/>
          <w:sz w:val="20"/>
          <w:szCs w:val="20"/>
        </w:rPr>
      </w:pPr>
      <w:r>
        <w:rPr>
          <w:rFonts w:ascii="Arial" w:eastAsia="Arial" w:hAnsi="Arial" w:cs="Arial"/>
          <w:color w:val="000000"/>
          <w:sz w:val="20"/>
          <w:szCs w:val="20"/>
        </w:rPr>
        <w:t xml:space="preserve">Vorstellung des Bieters bzw. jedes Mitglieds der Bietergemeinschaft auf dem </w:t>
      </w:r>
      <w:r>
        <w:rPr>
          <w:rFonts w:ascii="Arial" w:eastAsia="Arial" w:hAnsi="Arial" w:cs="Arial"/>
          <w:b/>
          <w:bCs/>
          <w:color w:val="000000"/>
          <w:sz w:val="20"/>
          <w:szCs w:val="20"/>
        </w:rPr>
        <w:t>Formblatt „Vorstellung Bieter“</w:t>
      </w:r>
      <w:r>
        <w:rPr>
          <w:rFonts w:ascii="Arial" w:eastAsia="Arial" w:hAnsi="Arial" w:cs="Arial"/>
          <w:color w:val="000000"/>
          <w:sz w:val="20"/>
          <w:szCs w:val="20"/>
        </w:rPr>
        <w:t xml:space="preserve"> (</w:t>
      </w:r>
      <w:r>
        <w:rPr>
          <w:rFonts w:ascii="Arial" w:eastAsia="Arial" w:hAnsi="Arial" w:cs="Arial"/>
          <w:b/>
          <w:bCs/>
          <w:color w:val="000000"/>
          <w:sz w:val="20"/>
          <w:szCs w:val="20"/>
        </w:rPr>
        <w:t>Anlage 0</w:t>
      </w:r>
      <w:r w:rsidR="00A63A39">
        <w:rPr>
          <w:rFonts w:ascii="Arial" w:eastAsia="Arial" w:hAnsi="Arial" w:cs="Arial"/>
          <w:b/>
          <w:bCs/>
          <w:color w:val="000000"/>
          <w:sz w:val="20"/>
          <w:szCs w:val="20"/>
        </w:rPr>
        <w:t>6</w:t>
      </w:r>
      <w:r>
        <w:rPr>
          <w:rFonts w:ascii="Arial" w:eastAsia="Arial" w:hAnsi="Arial" w:cs="Arial"/>
          <w:color w:val="000000"/>
          <w:sz w:val="20"/>
          <w:szCs w:val="20"/>
        </w:rPr>
        <w:t>) einschließlich (i) Organigramm und Ansprechpartner, (ii) Standorte des Bieters /der Mitglieder der Bietergemeinschaft inkl. Angabe der jeweiligen Anzahl an Mitarbeitern und Beschreibung der grundsätzlichen Kompetenzen, (iii) Beteiligungsverhältnisse am Unternehm</w:t>
      </w:r>
      <w:r>
        <w:rPr>
          <w:rFonts w:ascii="Arial" w:eastAsia="Arial" w:hAnsi="Arial" w:cs="Arial"/>
          <w:sz w:val="20"/>
          <w:szCs w:val="20"/>
        </w:rPr>
        <w:t>en des Bieters/der Bietergemeinschaft und (iv) Mitgliedschaften in Organisationen sowie (v) Beschreibung der Expertise der für das Projekt relevanten Leistungsbereiche insbesondere der Organisation von Großveranstaltung Musik - Festival, Preisverleihung, Konzert(e) mit Konferenzanteil. Die entsprechende Darstellung darf drei DIN A4 Seiten bei Schriftgröße 11, Schriftart A</w:t>
      </w:r>
      <w:r>
        <w:rPr>
          <w:rFonts w:ascii="Arial" w:eastAsia="Arial" w:hAnsi="Arial" w:cs="Arial"/>
          <w:color w:val="000000"/>
          <w:sz w:val="20"/>
          <w:szCs w:val="20"/>
        </w:rPr>
        <w:t>rial, Zeilenabstand 1,5 nicht überschreiten.</w:t>
      </w:r>
    </w:p>
    <w:p w14:paraId="35C376CF" w14:textId="11E20693" w:rsidR="00182F3A" w:rsidRDefault="009308AB">
      <w:pPr>
        <w:numPr>
          <w:ilvl w:val="2"/>
          <w:numId w:val="1"/>
        </w:numPr>
        <w:pBdr>
          <w:top w:val="nil"/>
          <w:left w:val="nil"/>
          <w:bottom w:val="nil"/>
          <w:right w:val="nil"/>
          <w:between w:val="nil"/>
        </w:pBdr>
        <w:spacing w:before="120" w:after="120"/>
        <w:jc w:val="both"/>
        <w:rPr>
          <w:color w:val="000000"/>
          <w:sz w:val="20"/>
          <w:szCs w:val="20"/>
        </w:rPr>
      </w:pPr>
      <w:r>
        <w:rPr>
          <w:rFonts w:ascii="Arial" w:eastAsia="Arial" w:hAnsi="Arial" w:cs="Arial"/>
          <w:color w:val="000000"/>
          <w:sz w:val="20"/>
          <w:szCs w:val="20"/>
        </w:rPr>
        <w:t xml:space="preserve">Sofern das Angebot für eine Bietergemeinschaft eingereicht wird, ist das </w:t>
      </w:r>
      <w:r>
        <w:rPr>
          <w:rFonts w:ascii="Arial" w:eastAsia="Arial" w:hAnsi="Arial" w:cs="Arial"/>
          <w:b/>
          <w:bCs/>
          <w:color w:val="000000"/>
          <w:sz w:val="20"/>
          <w:szCs w:val="20"/>
        </w:rPr>
        <w:t>Formblatt „Bietergemeinschaftserklärung“</w:t>
      </w:r>
      <w:r>
        <w:rPr>
          <w:rFonts w:ascii="Arial" w:eastAsia="Arial" w:hAnsi="Arial" w:cs="Arial"/>
          <w:color w:val="000000"/>
          <w:sz w:val="20"/>
          <w:szCs w:val="20"/>
        </w:rPr>
        <w:t xml:space="preserve"> (</w:t>
      </w:r>
      <w:r>
        <w:rPr>
          <w:rFonts w:ascii="Arial" w:eastAsia="Arial" w:hAnsi="Arial" w:cs="Arial"/>
          <w:b/>
          <w:bCs/>
          <w:color w:val="000000"/>
          <w:sz w:val="20"/>
          <w:szCs w:val="20"/>
        </w:rPr>
        <w:t>Anlage 0</w:t>
      </w:r>
      <w:r w:rsidR="002F6114">
        <w:rPr>
          <w:rFonts w:ascii="Arial" w:eastAsia="Arial" w:hAnsi="Arial" w:cs="Arial"/>
          <w:b/>
          <w:bCs/>
          <w:color w:val="000000"/>
          <w:sz w:val="20"/>
          <w:szCs w:val="20"/>
        </w:rPr>
        <w:t>7</w:t>
      </w:r>
      <w:r>
        <w:rPr>
          <w:rFonts w:ascii="Arial" w:eastAsia="Arial" w:hAnsi="Arial" w:cs="Arial"/>
          <w:color w:val="000000"/>
          <w:sz w:val="20"/>
          <w:szCs w:val="20"/>
        </w:rPr>
        <w:t>) mit dem Angebot einzureichen. Aus diesem muss der für die Bietergemeinschaft bevollmächtigte Vertreter sowie die übrigen Mitglieder der Bietergemeinschaft einschließlich der beabsichtigten Leistungsteile hervorgehen.</w:t>
      </w:r>
    </w:p>
    <w:p w14:paraId="35C376D0" w14:textId="77777777" w:rsidR="00182F3A" w:rsidRDefault="009308AB">
      <w:pPr>
        <w:numPr>
          <w:ilvl w:val="2"/>
          <w:numId w:val="1"/>
        </w:numPr>
        <w:pBdr>
          <w:top w:val="nil"/>
          <w:left w:val="nil"/>
          <w:bottom w:val="nil"/>
          <w:right w:val="nil"/>
          <w:between w:val="nil"/>
        </w:pBdr>
        <w:spacing w:before="120" w:after="120"/>
        <w:jc w:val="both"/>
        <w:rPr>
          <w:color w:val="000000"/>
          <w:sz w:val="20"/>
          <w:szCs w:val="20"/>
        </w:rPr>
      </w:pPr>
      <w:r>
        <w:rPr>
          <w:rFonts w:ascii="Arial" w:eastAsia="Arial" w:hAnsi="Arial" w:cs="Arial"/>
          <w:color w:val="000000"/>
          <w:sz w:val="20"/>
          <w:szCs w:val="20"/>
        </w:rPr>
        <w:t xml:space="preserve">Nachweise, dass keine Ausschlussgründe vorliegen. Die entsprechenden Nachweise erfolgen mittels entsprechender Eigenerklärungen auf der Grundlage der vom Auftraggeber zur Verfügung gestellten Formblätter </w:t>
      </w:r>
      <w:r>
        <w:rPr>
          <w:rFonts w:ascii="Arial" w:eastAsia="Arial" w:hAnsi="Arial" w:cs="Arial"/>
          <w:b/>
          <w:bCs/>
          <w:color w:val="000000"/>
          <w:sz w:val="20"/>
          <w:szCs w:val="20"/>
        </w:rPr>
        <w:t>„Eigenerklärung Ausschlussgründe“</w:t>
      </w:r>
      <w:r>
        <w:rPr>
          <w:rFonts w:ascii="Arial" w:eastAsia="Arial" w:hAnsi="Arial" w:cs="Arial"/>
          <w:color w:val="000000"/>
          <w:sz w:val="20"/>
          <w:szCs w:val="20"/>
        </w:rPr>
        <w:t xml:space="preserve"> (</w:t>
      </w:r>
      <w:r>
        <w:rPr>
          <w:rFonts w:ascii="Arial" w:eastAsia="Arial" w:hAnsi="Arial" w:cs="Arial"/>
          <w:b/>
          <w:bCs/>
          <w:color w:val="000000"/>
          <w:sz w:val="20"/>
          <w:szCs w:val="20"/>
        </w:rPr>
        <w:t>Anlage 08</w:t>
      </w:r>
      <w:r>
        <w:rPr>
          <w:rFonts w:ascii="Arial" w:eastAsia="Arial" w:hAnsi="Arial" w:cs="Arial"/>
          <w:color w:val="000000"/>
          <w:sz w:val="20"/>
          <w:szCs w:val="20"/>
        </w:rPr>
        <w:t xml:space="preserve">) und </w:t>
      </w:r>
      <w:r>
        <w:rPr>
          <w:rFonts w:ascii="Arial" w:eastAsia="Arial" w:hAnsi="Arial" w:cs="Arial"/>
          <w:b/>
          <w:bCs/>
          <w:color w:val="000000"/>
          <w:sz w:val="20"/>
          <w:szCs w:val="20"/>
        </w:rPr>
        <w:t xml:space="preserve">„Eigenerklärung Russlandsanktionen“ </w:t>
      </w:r>
      <w:r>
        <w:rPr>
          <w:rFonts w:ascii="Arial" w:eastAsia="Arial" w:hAnsi="Arial" w:cs="Arial"/>
          <w:color w:val="000000"/>
          <w:sz w:val="20"/>
          <w:szCs w:val="20"/>
        </w:rPr>
        <w:t>(</w:t>
      </w:r>
      <w:r>
        <w:rPr>
          <w:rFonts w:ascii="Arial" w:eastAsia="Arial" w:hAnsi="Arial" w:cs="Arial"/>
          <w:b/>
          <w:bCs/>
          <w:color w:val="000000"/>
          <w:sz w:val="20"/>
          <w:szCs w:val="20"/>
        </w:rPr>
        <w:t>Anlage 09</w:t>
      </w:r>
      <w:r>
        <w:rPr>
          <w:rFonts w:ascii="Arial" w:eastAsia="Arial" w:hAnsi="Arial" w:cs="Arial"/>
          <w:color w:val="000000"/>
          <w:sz w:val="20"/>
          <w:szCs w:val="20"/>
        </w:rPr>
        <w:t xml:space="preserve">). Sollen </w:t>
      </w:r>
      <w:r>
        <w:rPr>
          <w:rFonts w:ascii="Arial" w:eastAsia="Arial" w:hAnsi="Arial" w:cs="Arial"/>
          <w:b/>
          <w:bCs/>
          <w:color w:val="000000"/>
          <w:sz w:val="20"/>
          <w:szCs w:val="20"/>
        </w:rPr>
        <w:t>Unterauftragnehmer</w:t>
      </w:r>
      <w:r>
        <w:rPr>
          <w:rFonts w:ascii="Arial" w:eastAsia="Arial" w:hAnsi="Arial" w:cs="Arial"/>
          <w:color w:val="000000"/>
          <w:sz w:val="20"/>
          <w:szCs w:val="20"/>
        </w:rPr>
        <w:t xml:space="preserve"> eingesetzt werden, sind die dafür vorgesehenen Unterschriftsfelder in den Formblättern zu beachten und auszufüllen.</w:t>
      </w:r>
    </w:p>
    <w:p w14:paraId="35C376D1" w14:textId="77777777" w:rsidR="00182F3A" w:rsidRDefault="009308AB">
      <w:pPr>
        <w:numPr>
          <w:ilvl w:val="2"/>
          <w:numId w:val="1"/>
        </w:numPr>
        <w:pBdr>
          <w:top w:val="nil"/>
          <w:left w:val="nil"/>
          <w:bottom w:val="nil"/>
          <w:right w:val="nil"/>
          <w:between w:val="nil"/>
        </w:pBdr>
        <w:spacing w:before="120" w:after="120"/>
        <w:jc w:val="both"/>
        <w:rPr>
          <w:color w:val="000000"/>
          <w:sz w:val="20"/>
          <w:szCs w:val="20"/>
        </w:rPr>
      </w:pPr>
      <w:r>
        <w:rPr>
          <w:rFonts w:ascii="Arial" w:eastAsia="Arial" w:hAnsi="Arial" w:cs="Arial"/>
          <w:color w:val="000000"/>
          <w:sz w:val="20"/>
          <w:szCs w:val="20"/>
        </w:rPr>
        <w:t xml:space="preserve">Aktueller </w:t>
      </w:r>
      <w:r>
        <w:rPr>
          <w:rFonts w:ascii="Arial" w:eastAsia="Arial" w:hAnsi="Arial" w:cs="Arial"/>
          <w:b/>
          <w:bCs/>
          <w:color w:val="000000"/>
          <w:sz w:val="20"/>
          <w:szCs w:val="20"/>
        </w:rPr>
        <w:t>Nachweis</w:t>
      </w:r>
      <w:r>
        <w:rPr>
          <w:rFonts w:ascii="Arial" w:eastAsia="Arial" w:hAnsi="Arial" w:cs="Arial"/>
          <w:color w:val="000000"/>
          <w:sz w:val="20"/>
          <w:szCs w:val="20"/>
        </w:rPr>
        <w:t xml:space="preserve">, dass das Unternehmen im </w:t>
      </w:r>
      <w:r>
        <w:rPr>
          <w:rFonts w:ascii="Arial" w:eastAsia="Arial" w:hAnsi="Arial" w:cs="Arial"/>
          <w:b/>
          <w:bCs/>
          <w:color w:val="000000"/>
          <w:sz w:val="20"/>
          <w:szCs w:val="20"/>
        </w:rPr>
        <w:t>Berufs- oder Handelsregister</w:t>
      </w:r>
      <w:r>
        <w:rPr>
          <w:rFonts w:ascii="Arial" w:eastAsia="Arial" w:hAnsi="Arial" w:cs="Arial"/>
          <w:color w:val="000000"/>
          <w:sz w:val="20"/>
          <w:szCs w:val="20"/>
        </w:rPr>
        <w:t xml:space="preserve"> nach Maßgabe der Rechtsvorschriften des Landes der Gemeinschaft oder des Vertragsstaates des EWR-Abkommens eingetragen ist, in dem es ansässig ist. Im Fall der Beteiligung als Bietergemeinschaft ist der Nachweis von jedem Mitglied der </w:t>
      </w:r>
      <w:r>
        <w:rPr>
          <w:rFonts w:ascii="Arial" w:eastAsia="Arial" w:hAnsi="Arial" w:cs="Arial"/>
          <w:sz w:val="20"/>
          <w:szCs w:val="20"/>
        </w:rPr>
        <w:t>Bietergemeinschaft</w:t>
      </w:r>
      <w:r>
        <w:rPr>
          <w:rFonts w:ascii="Arial" w:eastAsia="Arial" w:hAnsi="Arial" w:cs="Arial"/>
          <w:color w:val="000000"/>
          <w:sz w:val="20"/>
          <w:szCs w:val="20"/>
        </w:rPr>
        <w:t xml:space="preserve"> einzureichen. Der Nachweis darf nicht älter als sechs Monate ab Veröffentlichung der EU-Bekanntmachung sein.</w:t>
      </w:r>
    </w:p>
    <w:p w14:paraId="35C376D2" w14:textId="77777777" w:rsidR="00182F3A" w:rsidRDefault="009308AB">
      <w:pPr>
        <w:numPr>
          <w:ilvl w:val="2"/>
          <w:numId w:val="1"/>
        </w:numPr>
        <w:pBdr>
          <w:top w:val="nil"/>
          <w:left w:val="nil"/>
          <w:bottom w:val="nil"/>
          <w:right w:val="nil"/>
          <w:between w:val="nil"/>
        </w:pBdr>
        <w:tabs>
          <w:tab w:val="left" w:pos="9213"/>
        </w:tabs>
        <w:spacing w:before="120" w:after="120"/>
        <w:jc w:val="both"/>
        <w:rPr>
          <w:color w:val="000000"/>
          <w:sz w:val="20"/>
          <w:szCs w:val="20"/>
        </w:rPr>
      </w:pPr>
      <w:r>
        <w:rPr>
          <w:rFonts w:ascii="Arial" w:eastAsia="Arial" w:hAnsi="Arial" w:cs="Arial"/>
          <w:color w:val="000000"/>
          <w:sz w:val="20"/>
          <w:szCs w:val="20"/>
        </w:rPr>
        <w:t xml:space="preserve">Der Bieter erklärt mit Abgabe der Anlage 10 für den Fall der Zuschlagserteilung, spätestens mit Beginn der Auftragsausführung, über eine </w:t>
      </w:r>
      <w:r>
        <w:rPr>
          <w:rFonts w:ascii="Arial" w:eastAsia="Arial" w:hAnsi="Arial" w:cs="Arial"/>
          <w:b/>
          <w:bCs/>
          <w:color w:val="000000"/>
          <w:sz w:val="20"/>
          <w:szCs w:val="20"/>
        </w:rPr>
        <w:t>Haftpflichtversicherung</w:t>
      </w:r>
      <w:r>
        <w:rPr>
          <w:rFonts w:ascii="Arial" w:eastAsia="Arial" w:hAnsi="Arial" w:cs="Arial"/>
          <w:color w:val="000000"/>
          <w:sz w:val="20"/>
          <w:szCs w:val="20"/>
        </w:rPr>
        <w:t xml:space="preserve"> i.H.v. </w:t>
      </w:r>
      <w:r>
        <w:rPr>
          <w:rFonts w:ascii="Arial" w:eastAsia="Arial" w:hAnsi="Arial" w:cs="Arial"/>
          <w:b/>
          <w:bCs/>
          <w:color w:val="000000"/>
          <w:sz w:val="20"/>
          <w:szCs w:val="20"/>
        </w:rPr>
        <w:t xml:space="preserve">mindestens 1 Mio. EUR für Personen- und Sachschäden je Schadensereignis und für Vermögensschäden i.H.v. mindestens 250.000 EUR je Schadensereignis </w:t>
      </w:r>
      <w:r>
        <w:rPr>
          <w:rFonts w:ascii="Arial" w:eastAsia="Arial" w:hAnsi="Arial" w:cs="Arial"/>
          <w:color w:val="000000"/>
          <w:sz w:val="20"/>
          <w:szCs w:val="20"/>
        </w:rPr>
        <w:t xml:space="preserve">zu verfügen und den den Nachweis hierüber binnen 14 Tagen vorzulegen. Der Nachweis ist durch eine verbindliche Deckungsbestätigung, rechtsverbindliche Erklärung über den Abschluss einer entsprechenden Erklärung im Auftragsfall oder durch Vorlage des Versicherungsscheines (in Kopie) zu führen. Im Fall der Beteiligung als Bietergemeinschaft ist der Nachweis von jedem Mitglied der Bietergemeinschaft einzureichen. </w:t>
      </w:r>
    </w:p>
    <w:p w14:paraId="35C376D3" w14:textId="77777777" w:rsidR="00182F3A" w:rsidRDefault="009308AB">
      <w:pPr>
        <w:numPr>
          <w:ilvl w:val="2"/>
          <w:numId w:val="1"/>
        </w:numPr>
        <w:pBdr>
          <w:top w:val="nil"/>
          <w:left w:val="nil"/>
          <w:bottom w:val="nil"/>
          <w:right w:val="nil"/>
          <w:between w:val="nil"/>
        </w:pBdr>
        <w:spacing w:before="120" w:after="120"/>
        <w:jc w:val="both"/>
        <w:rPr>
          <w:b/>
          <w:bCs/>
          <w:color w:val="000000"/>
          <w:sz w:val="20"/>
          <w:szCs w:val="20"/>
        </w:rPr>
      </w:pPr>
      <w:r>
        <w:rPr>
          <w:rFonts w:ascii="Arial" w:eastAsia="Arial" w:hAnsi="Arial" w:cs="Arial"/>
          <w:b/>
          <w:bCs/>
          <w:color w:val="000000"/>
          <w:sz w:val="20"/>
          <w:szCs w:val="20"/>
        </w:rPr>
        <w:t xml:space="preserve">Weitere Nachweise für die Eignung </w:t>
      </w:r>
    </w:p>
    <w:p w14:paraId="35C376D4" w14:textId="77777777" w:rsidR="00182F3A" w:rsidRDefault="009308AB">
      <w:pPr>
        <w:numPr>
          <w:ilvl w:val="3"/>
          <w:numId w:val="1"/>
        </w:numPr>
        <w:pBdr>
          <w:top w:val="nil"/>
          <w:left w:val="nil"/>
          <w:bottom w:val="nil"/>
          <w:right w:val="nil"/>
          <w:between w:val="nil"/>
        </w:pBdr>
        <w:tabs>
          <w:tab w:val="left" w:pos="9213"/>
        </w:tabs>
        <w:spacing w:before="120" w:after="120"/>
        <w:jc w:val="both"/>
        <w:rPr>
          <w:color w:val="000000"/>
          <w:sz w:val="20"/>
          <w:szCs w:val="20"/>
        </w:rPr>
      </w:pPr>
      <w:r>
        <w:rPr>
          <w:rFonts w:ascii="Arial" w:eastAsia="Arial" w:hAnsi="Arial" w:cs="Arial"/>
          <w:b/>
          <w:bCs/>
          <w:color w:val="000000"/>
          <w:sz w:val="20"/>
          <w:szCs w:val="20"/>
        </w:rPr>
        <w:t>Formblatt „Wirtschaftliche und finanzielle Leistungsfähigkeit“</w:t>
      </w:r>
      <w:r>
        <w:rPr>
          <w:rFonts w:ascii="Arial" w:eastAsia="Arial" w:hAnsi="Arial" w:cs="Arial"/>
          <w:color w:val="000000"/>
          <w:sz w:val="20"/>
          <w:szCs w:val="20"/>
        </w:rPr>
        <w:t>: Der Bieter hat mit seinem Angebot das Formblatt abzugeben, aus dem die folgenden Angabe hervorgehen muss:</w:t>
      </w:r>
    </w:p>
    <w:p w14:paraId="35C376D5" w14:textId="77777777" w:rsidR="00182F3A" w:rsidRDefault="009308AB">
      <w:pPr>
        <w:numPr>
          <w:ilvl w:val="4"/>
          <w:numId w:val="1"/>
        </w:numPr>
        <w:pBdr>
          <w:top w:val="nil"/>
          <w:left w:val="nil"/>
          <w:bottom w:val="nil"/>
          <w:right w:val="nil"/>
          <w:between w:val="nil"/>
        </w:pBdr>
        <w:tabs>
          <w:tab w:val="left" w:pos="9213"/>
        </w:tabs>
        <w:spacing w:before="120" w:after="120"/>
        <w:jc w:val="both"/>
        <w:rPr>
          <w:sz w:val="20"/>
          <w:szCs w:val="20"/>
        </w:rPr>
      </w:pPr>
      <w:r>
        <w:rPr>
          <w:rFonts w:ascii="Arial" w:eastAsia="Arial" w:hAnsi="Arial" w:cs="Arial"/>
          <w:color w:val="000000"/>
          <w:sz w:val="20"/>
          <w:szCs w:val="20"/>
        </w:rPr>
        <w:t xml:space="preserve">Angabe des durchschnittlichen </w:t>
      </w:r>
      <w:r>
        <w:rPr>
          <w:rFonts w:ascii="Arial" w:eastAsia="Arial" w:hAnsi="Arial" w:cs="Arial"/>
          <w:sz w:val="20"/>
          <w:szCs w:val="20"/>
        </w:rPr>
        <w:t xml:space="preserve">Netto-Jahresumsatzes in den letzten drei abgeschlossenen Geschäftsjahren. Der durchschnittliche </w:t>
      </w:r>
      <w:r>
        <w:rPr>
          <w:rFonts w:ascii="Arial" w:eastAsia="Arial" w:hAnsi="Arial" w:cs="Arial"/>
          <w:b/>
          <w:bCs/>
          <w:sz w:val="20"/>
          <w:szCs w:val="20"/>
        </w:rPr>
        <w:t>jährliche Netto-Jahresumsatz</w:t>
      </w:r>
      <w:r>
        <w:rPr>
          <w:rFonts w:ascii="Arial" w:eastAsia="Arial" w:hAnsi="Arial" w:cs="Arial"/>
          <w:sz w:val="20"/>
          <w:szCs w:val="20"/>
        </w:rPr>
        <w:t xml:space="preserve"> muss in allen Jahren </w:t>
      </w:r>
      <w:r>
        <w:rPr>
          <w:rFonts w:ascii="Arial" w:eastAsia="Arial" w:hAnsi="Arial" w:cs="Arial"/>
          <w:b/>
          <w:bCs/>
          <w:sz w:val="20"/>
          <w:szCs w:val="20"/>
        </w:rPr>
        <w:t xml:space="preserve">mindestens 500.000 EUR </w:t>
      </w:r>
      <w:r>
        <w:rPr>
          <w:rFonts w:ascii="Arial" w:eastAsia="Arial" w:hAnsi="Arial" w:cs="Arial"/>
          <w:sz w:val="20"/>
          <w:szCs w:val="20"/>
        </w:rPr>
        <w:t>betragen.</w:t>
      </w:r>
    </w:p>
    <w:p w14:paraId="35C376D6" w14:textId="77777777" w:rsidR="00182F3A" w:rsidRDefault="009308AB">
      <w:pPr>
        <w:numPr>
          <w:ilvl w:val="3"/>
          <w:numId w:val="1"/>
        </w:numPr>
        <w:pBdr>
          <w:top w:val="nil"/>
          <w:left w:val="nil"/>
          <w:bottom w:val="nil"/>
          <w:right w:val="nil"/>
          <w:between w:val="nil"/>
        </w:pBdr>
        <w:tabs>
          <w:tab w:val="left" w:pos="9213"/>
        </w:tabs>
        <w:spacing w:before="120" w:after="120"/>
        <w:jc w:val="both"/>
        <w:rPr>
          <w:color w:val="000000"/>
          <w:sz w:val="20"/>
          <w:szCs w:val="20"/>
        </w:rPr>
      </w:pPr>
      <w:bookmarkStart w:id="2" w:name="_heading=h.2et92p0" w:colFirst="0" w:colLast="0"/>
      <w:bookmarkEnd w:id="2"/>
      <w:r>
        <w:rPr>
          <w:rFonts w:ascii="Arial" w:eastAsia="Arial" w:hAnsi="Arial" w:cs="Arial"/>
          <w:b/>
          <w:bCs/>
          <w:sz w:val="20"/>
          <w:szCs w:val="20"/>
        </w:rPr>
        <w:t>Formblatt „Technische und beruflic</w:t>
      </w:r>
      <w:r>
        <w:rPr>
          <w:rFonts w:ascii="Arial" w:eastAsia="Arial" w:hAnsi="Arial" w:cs="Arial"/>
          <w:b/>
          <w:bCs/>
          <w:color w:val="000000"/>
          <w:sz w:val="20"/>
          <w:szCs w:val="20"/>
        </w:rPr>
        <w:t>he Leistungsfähigkeit“</w:t>
      </w:r>
      <w:r>
        <w:rPr>
          <w:rFonts w:ascii="Arial" w:eastAsia="Arial" w:hAnsi="Arial" w:cs="Arial"/>
          <w:color w:val="000000"/>
          <w:sz w:val="20"/>
          <w:szCs w:val="20"/>
        </w:rPr>
        <w:t xml:space="preserve">: Der Bieter hat mit seinem Angebot das Formblatt abzugeben, aus dem die folgende Angabe hervorgehen muss: </w:t>
      </w:r>
    </w:p>
    <w:p w14:paraId="35C376D7" w14:textId="77777777" w:rsidR="00182F3A" w:rsidRDefault="009308AB">
      <w:pPr>
        <w:numPr>
          <w:ilvl w:val="4"/>
          <w:numId w:val="1"/>
        </w:numPr>
        <w:pBdr>
          <w:top w:val="nil"/>
          <w:left w:val="nil"/>
          <w:bottom w:val="nil"/>
          <w:right w:val="nil"/>
          <w:between w:val="nil"/>
        </w:pBdr>
        <w:tabs>
          <w:tab w:val="left" w:pos="9213"/>
        </w:tabs>
        <w:spacing w:before="120" w:after="120"/>
        <w:jc w:val="both"/>
        <w:rPr>
          <w:sz w:val="20"/>
          <w:szCs w:val="20"/>
        </w:rPr>
      </w:pPr>
      <w:r>
        <w:rPr>
          <w:rFonts w:ascii="Arial" w:eastAsia="Arial" w:hAnsi="Arial" w:cs="Arial"/>
          <w:color w:val="000000"/>
          <w:sz w:val="20"/>
          <w:szCs w:val="20"/>
        </w:rPr>
        <w:t xml:space="preserve">Anzahl der vom Bieter </w:t>
      </w:r>
      <w:r>
        <w:rPr>
          <w:rFonts w:ascii="Arial" w:eastAsia="Arial" w:hAnsi="Arial" w:cs="Arial"/>
          <w:sz w:val="20"/>
          <w:szCs w:val="20"/>
        </w:rPr>
        <w:t>beschäftigten Mitarbeitenden in den letzten drei abgeschlossenen Geschäftsjahren machen. Gezählt werden fest beim Bieter angestellte Mitarbeitende. Die Mitarbeitendenanzahl ist in Vollzeitäquivalenten auszuweisen.</w:t>
      </w:r>
    </w:p>
    <w:p w14:paraId="35C376D8" w14:textId="77777777" w:rsidR="00182F3A" w:rsidRDefault="009308AB">
      <w:pPr>
        <w:numPr>
          <w:ilvl w:val="4"/>
          <w:numId w:val="1"/>
        </w:numPr>
        <w:pBdr>
          <w:top w:val="nil"/>
          <w:left w:val="nil"/>
          <w:bottom w:val="nil"/>
          <w:right w:val="nil"/>
          <w:between w:val="nil"/>
        </w:pBdr>
        <w:tabs>
          <w:tab w:val="left" w:pos="9213"/>
        </w:tabs>
        <w:spacing w:before="120" w:after="120"/>
        <w:jc w:val="both"/>
        <w:rPr>
          <w:color w:val="000000"/>
          <w:sz w:val="20"/>
          <w:szCs w:val="20"/>
        </w:rPr>
      </w:pPr>
      <w:r>
        <w:rPr>
          <w:rFonts w:ascii="Arial" w:eastAsia="Arial" w:hAnsi="Arial" w:cs="Arial"/>
          <w:color w:val="000000"/>
          <w:sz w:val="20"/>
          <w:szCs w:val="20"/>
        </w:rPr>
        <w:t>Dabei gilt zusätzlich f</w:t>
      </w:r>
      <w:r>
        <w:rPr>
          <w:rFonts w:ascii="Arial" w:eastAsia="Arial" w:hAnsi="Arial" w:cs="Arial"/>
          <w:sz w:val="20"/>
          <w:szCs w:val="20"/>
        </w:rPr>
        <w:t>olgende Mindestanforderung: Der Bieter verfügte i</w:t>
      </w:r>
      <w:r>
        <w:rPr>
          <w:rFonts w:ascii="Arial" w:eastAsia="Arial" w:hAnsi="Arial" w:cs="Arial"/>
          <w:color w:val="000000"/>
          <w:sz w:val="20"/>
          <w:szCs w:val="20"/>
        </w:rPr>
        <w:t xml:space="preserve">n den letzten drei abgeschlossenen Geschäftsjahren durchschnittlich über eine Mitarbeiteranzahl von </w:t>
      </w:r>
      <w:r>
        <w:rPr>
          <w:rFonts w:ascii="Arial" w:eastAsia="Arial" w:hAnsi="Arial" w:cs="Arial"/>
          <w:b/>
          <w:bCs/>
          <w:color w:val="000000"/>
          <w:sz w:val="20"/>
          <w:szCs w:val="20"/>
        </w:rPr>
        <w:t xml:space="preserve">mindestens 10 Mitarbeitenden pro Jahr </w:t>
      </w:r>
      <w:r>
        <w:rPr>
          <w:rFonts w:ascii="Arial" w:eastAsia="Arial" w:hAnsi="Arial" w:cs="Arial"/>
          <w:color w:val="000000"/>
          <w:sz w:val="20"/>
          <w:szCs w:val="20"/>
        </w:rPr>
        <w:t xml:space="preserve">im Bereich </w:t>
      </w:r>
      <w:r>
        <w:rPr>
          <w:rFonts w:ascii="Arial" w:eastAsia="Arial" w:hAnsi="Arial" w:cs="Arial"/>
          <w:b/>
          <w:bCs/>
          <w:color w:val="000000"/>
          <w:sz w:val="20"/>
          <w:szCs w:val="20"/>
        </w:rPr>
        <w:t>„Projektmanagement im Bereich Veranstaltungen“</w:t>
      </w:r>
      <w:r>
        <w:rPr>
          <w:rFonts w:ascii="Arial" w:eastAsia="Arial" w:hAnsi="Arial" w:cs="Arial"/>
          <w:color w:val="000000"/>
          <w:sz w:val="20"/>
          <w:szCs w:val="20"/>
        </w:rPr>
        <w:t>.</w:t>
      </w:r>
    </w:p>
    <w:p w14:paraId="35C376D9" w14:textId="77777777" w:rsidR="00182F3A" w:rsidRDefault="009308AB">
      <w:pPr>
        <w:numPr>
          <w:ilvl w:val="2"/>
          <w:numId w:val="3"/>
        </w:numPr>
        <w:pBdr>
          <w:top w:val="nil"/>
          <w:left w:val="nil"/>
          <w:bottom w:val="nil"/>
          <w:right w:val="nil"/>
          <w:between w:val="nil"/>
        </w:pBdr>
        <w:tabs>
          <w:tab w:val="left" w:pos="9213"/>
        </w:tabs>
        <w:spacing w:after="0"/>
        <w:jc w:val="both"/>
        <w:rPr>
          <w:sz w:val="20"/>
          <w:szCs w:val="20"/>
        </w:rPr>
      </w:pPr>
      <w:r>
        <w:rPr>
          <w:rFonts w:ascii="Arial" w:eastAsia="Arial" w:hAnsi="Arial" w:cs="Arial"/>
          <w:b/>
          <w:bCs/>
          <w:sz w:val="20"/>
          <w:szCs w:val="20"/>
        </w:rPr>
        <w:t>Formblatt „Referenzen“</w:t>
      </w:r>
      <w:r>
        <w:rPr>
          <w:rFonts w:ascii="Arial" w:eastAsia="Arial" w:hAnsi="Arial" w:cs="Arial"/>
          <w:sz w:val="20"/>
          <w:szCs w:val="20"/>
        </w:rPr>
        <w:t xml:space="preserve">: Der Bieter hat mit seinem Angebot </w:t>
      </w:r>
      <w:r>
        <w:rPr>
          <w:rFonts w:ascii="Arial" w:eastAsia="Arial" w:hAnsi="Arial" w:cs="Arial"/>
          <w:b/>
          <w:bCs/>
          <w:sz w:val="20"/>
          <w:szCs w:val="20"/>
        </w:rPr>
        <w:t>mindestens</w:t>
      </w:r>
      <w:r>
        <w:rPr>
          <w:rFonts w:ascii="Arial" w:eastAsia="Arial" w:hAnsi="Arial" w:cs="Arial"/>
          <w:sz w:val="20"/>
          <w:szCs w:val="20"/>
        </w:rPr>
        <w:t xml:space="preserve"> </w:t>
      </w:r>
      <w:r>
        <w:rPr>
          <w:rFonts w:ascii="Arial" w:eastAsia="Arial" w:hAnsi="Arial" w:cs="Arial"/>
          <w:b/>
          <w:bCs/>
          <w:sz w:val="20"/>
          <w:szCs w:val="20"/>
        </w:rPr>
        <w:t>ein vergleichbares Referenzprojekt</w:t>
      </w:r>
      <w:r>
        <w:rPr>
          <w:rFonts w:ascii="Arial" w:eastAsia="Arial" w:hAnsi="Arial" w:cs="Arial"/>
          <w:sz w:val="20"/>
          <w:szCs w:val="20"/>
        </w:rPr>
        <w:t xml:space="preserve"> aus den letzten drei Jahren einzureichen. Ein Projekt wird in dem Zeitraum durchgeführt, wenn die durchgeführte Veranstaltung mindestens während eines Jahres im relevanten Zeitraum lag.</w:t>
      </w:r>
    </w:p>
    <w:p w14:paraId="35C376DA" w14:textId="77777777" w:rsidR="00182F3A" w:rsidRDefault="009308AB">
      <w:pPr>
        <w:pBdr>
          <w:top w:val="nil"/>
          <w:left w:val="nil"/>
          <w:bottom w:val="nil"/>
          <w:right w:val="nil"/>
          <w:between w:val="nil"/>
        </w:pBdr>
        <w:tabs>
          <w:tab w:val="left" w:pos="9213"/>
        </w:tabs>
        <w:spacing w:after="0"/>
        <w:ind w:left="2160"/>
        <w:jc w:val="both"/>
        <w:rPr>
          <w:rFonts w:ascii="Arial" w:eastAsia="Arial" w:hAnsi="Arial" w:cs="Arial"/>
          <w:sz w:val="20"/>
          <w:szCs w:val="20"/>
        </w:rPr>
      </w:pPr>
      <w:r>
        <w:rPr>
          <w:rFonts w:ascii="Arial" w:eastAsia="Arial" w:hAnsi="Arial" w:cs="Arial"/>
          <w:sz w:val="20"/>
          <w:szCs w:val="20"/>
        </w:rPr>
        <w:t xml:space="preserve">Vergleichbar sind Leistungen, die dem Auftragsgegenstand und Funktionsumfang des Auftragsgegenstands nahekommen oder ähneln und in Umfang, Komplexität (Vielschichtigkeit) und Schwierigkeitsgrad den ausgeschriebenen Leistungen entsprechen. </w:t>
      </w:r>
    </w:p>
    <w:p w14:paraId="35C376DB" w14:textId="77777777" w:rsidR="00182F3A" w:rsidRDefault="009308AB">
      <w:pPr>
        <w:pBdr>
          <w:top w:val="nil"/>
          <w:left w:val="nil"/>
          <w:bottom w:val="nil"/>
          <w:right w:val="nil"/>
          <w:between w:val="nil"/>
        </w:pBdr>
        <w:tabs>
          <w:tab w:val="left" w:pos="9213"/>
        </w:tabs>
        <w:spacing w:after="0"/>
        <w:ind w:left="2160"/>
        <w:jc w:val="both"/>
        <w:rPr>
          <w:rFonts w:ascii="Arial" w:eastAsia="Arial" w:hAnsi="Arial" w:cs="Arial"/>
          <w:sz w:val="20"/>
          <w:szCs w:val="20"/>
        </w:rPr>
      </w:pPr>
      <w:r>
        <w:rPr>
          <w:rFonts w:ascii="Arial" w:eastAsia="Arial" w:hAnsi="Arial" w:cs="Arial"/>
          <w:sz w:val="20"/>
          <w:szCs w:val="20"/>
        </w:rPr>
        <w:t>Jede Referenz muss insbesondere hinsichtlich der folgenden Anforderungen vergleichbar sein:</w:t>
      </w:r>
    </w:p>
    <w:p w14:paraId="35C376DC" w14:textId="77777777" w:rsidR="00182F3A" w:rsidRDefault="009308AB">
      <w:pPr>
        <w:numPr>
          <w:ilvl w:val="4"/>
          <w:numId w:val="1"/>
        </w:numPr>
        <w:pBdr>
          <w:top w:val="nil"/>
          <w:left w:val="nil"/>
          <w:bottom w:val="nil"/>
          <w:right w:val="nil"/>
          <w:between w:val="nil"/>
        </w:pBdr>
        <w:spacing w:after="0" w:line="240" w:lineRule="auto"/>
        <w:ind w:left="2863" w:hanging="355"/>
        <w:rPr>
          <w:color w:val="000000"/>
          <w:sz w:val="20"/>
          <w:szCs w:val="20"/>
        </w:rPr>
      </w:pPr>
      <w:r>
        <w:rPr>
          <w:rFonts w:ascii="Arial" w:eastAsia="Arial" w:hAnsi="Arial" w:cs="Arial"/>
          <w:color w:val="000000"/>
          <w:sz w:val="20"/>
          <w:szCs w:val="20"/>
        </w:rPr>
        <w:t xml:space="preserve">Das Referenzprojekt umfasst eine mehrtägige Veranstaltung, die sowohl die Organisation eines Konzerts als auch die Planung und Durchführung von öffentlichen Talks, Workshops oder Keynotes beinhaltet. </w:t>
      </w:r>
    </w:p>
    <w:p w14:paraId="35C376DD" w14:textId="77777777" w:rsidR="00182F3A" w:rsidRDefault="009308AB">
      <w:pPr>
        <w:numPr>
          <w:ilvl w:val="4"/>
          <w:numId w:val="1"/>
        </w:numPr>
        <w:pBdr>
          <w:top w:val="nil"/>
          <w:left w:val="nil"/>
          <w:bottom w:val="nil"/>
          <w:right w:val="nil"/>
          <w:between w:val="nil"/>
        </w:pBdr>
        <w:spacing w:after="0" w:line="240" w:lineRule="auto"/>
        <w:ind w:left="2863" w:hanging="355"/>
        <w:rPr>
          <w:color w:val="000000"/>
          <w:sz w:val="20"/>
          <w:szCs w:val="20"/>
        </w:rPr>
      </w:pPr>
      <w:r>
        <w:rPr>
          <w:rFonts w:ascii="Arial" w:eastAsia="Arial" w:hAnsi="Arial" w:cs="Arial"/>
          <w:color w:val="000000"/>
          <w:sz w:val="20"/>
          <w:szCs w:val="20"/>
        </w:rPr>
        <w:t xml:space="preserve">Das Referenzprojekt umfasst eine öffentlich geförderte Veranstaltung mit Teilnahme von Personen des öffentlichen Lebens und erfüllt vergleichbare Anforderungen an Service, Sicherheit, Logistik und weitere Aspekte. </w:t>
      </w:r>
    </w:p>
    <w:p w14:paraId="35C376DE" w14:textId="77777777" w:rsidR="00182F3A" w:rsidRDefault="009308AB">
      <w:pPr>
        <w:pBdr>
          <w:top w:val="nil"/>
          <w:left w:val="nil"/>
          <w:bottom w:val="nil"/>
          <w:right w:val="nil"/>
          <w:between w:val="nil"/>
        </w:pBdr>
        <w:tabs>
          <w:tab w:val="left" w:pos="9213"/>
        </w:tabs>
        <w:spacing w:before="120" w:after="120"/>
        <w:ind w:left="2127"/>
        <w:jc w:val="both"/>
        <w:rPr>
          <w:rFonts w:ascii="Arial" w:eastAsia="Arial" w:hAnsi="Arial" w:cs="Arial"/>
          <w:sz w:val="20"/>
          <w:szCs w:val="20"/>
        </w:rPr>
      </w:pPr>
      <w:r>
        <w:rPr>
          <w:rFonts w:ascii="Arial" w:eastAsia="Arial" w:hAnsi="Arial" w:cs="Arial"/>
          <w:sz w:val="20"/>
          <w:szCs w:val="20"/>
        </w:rPr>
        <w:t>Mit Abgabe eines Angebotes erklärt sich der Bieter mit der Prüfung vorgelegter Referenzen einverstanden.</w:t>
      </w:r>
    </w:p>
    <w:p w14:paraId="35C376DF" w14:textId="77777777" w:rsidR="00182F3A" w:rsidRDefault="009308AB">
      <w:pPr>
        <w:numPr>
          <w:ilvl w:val="2"/>
          <w:numId w:val="4"/>
        </w:numPr>
        <w:pBdr>
          <w:top w:val="nil"/>
          <w:left w:val="nil"/>
          <w:bottom w:val="nil"/>
          <w:right w:val="nil"/>
          <w:between w:val="nil"/>
        </w:pBdr>
        <w:tabs>
          <w:tab w:val="left" w:pos="9213"/>
        </w:tabs>
        <w:spacing w:before="120" w:after="120"/>
        <w:ind w:left="2154" w:hanging="357"/>
        <w:jc w:val="both"/>
        <w:rPr>
          <w:sz w:val="20"/>
          <w:szCs w:val="20"/>
        </w:rPr>
      </w:pPr>
      <w:bookmarkStart w:id="3" w:name="_heading=h.1t3h5sf" w:colFirst="0" w:colLast="0"/>
      <w:bookmarkEnd w:id="3"/>
      <w:r>
        <w:rPr>
          <w:rFonts w:ascii="Arial" w:eastAsia="Arial" w:hAnsi="Arial" w:cs="Arial"/>
          <w:sz w:val="20"/>
          <w:szCs w:val="20"/>
        </w:rPr>
        <w:t xml:space="preserve">Soweit der Bieter oder die Bietergemeinschaft im Hinblick auf die wirtschaftliche und finanzielle bzw. technische und berufliche Leistungsfähigkeit die Kapazitäten anderer Unternehmen in Anspruch nehmen möchte (Eignungsleihe) ist dies durch den Bieter bzw. die Bietergemeinschaft mit dem Formblatt „Einsatz Eignungsleihe“ zu erklären. Für das sich zur Eignungsleihe verpflichtende Unternehmen ist das Formblatt „Verpflichtungserklärung Eignungsleihe“ einzureichen. </w:t>
      </w:r>
    </w:p>
    <w:p w14:paraId="35C376E0" w14:textId="77777777" w:rsidR="00182F3A" w:rsidRDefault="009308AB">
      <w:pPr>
        <w:numPr>
          <w:ilvl w:val="2"/>
          <w:numId w:val="1"/>
        </w:numPr>
        <w:pBdr>
          <w:top w:val="nil"/>
          <w:left w:val="nil"/>
          <w:bottom w:val="nil"/>
          <w:right w:val="nil"/>
          <w:between w:val="nil"/>
        </w:pBdr>
        <w:spacing w:after="120"/>
        <w:jc w:val="both"/>
        <w:rPr>
          <w:color w:val="000000"/>
          <w:sz w:val="20"/>
          <w:szCs w:val="20"/>
        </w:rPr>
      </w:pPr>
      <w:bookmarkStart w:id="4" w:name="_heading=h.xjjlo9cmf3xl" w:colFirst="0" w:colLast="0"/>
      <w:bookmarkEnd w:id="4"/>
      <w:r>
        <w:rPr>
          <w:rFonts w:ascii="Arial" w:eastAsia="Arial" w:hAnsi="Arial" w:cs="Arial"/>
          <w:b/>
          <w:bCs/>
          <w:color w:val="000000"/>
          <w:sz w:val="20"/>
          <w:szCs w:val="20"/>
        </w:rPr>
        <w:t>Auftragsverarbeitungsvertrag nach Art. 28 DS-GVO (Anlage 15)</w:t>
      </w:r>
      <w:r>
        <w:rPr>
          <w:rFonts w:ascii="Arial" w:eastAsia="Arial" w:hAnsi="Arial" w:cs="Arial"/>
          <w:color w:val="000000"/>
          <w:sz w:val="20"/>
          <w:szCs w:val="20"/>
        </w:rPr>
        <w:t>: Zweck dieser Vereinbarung ist es, die grundsätzlichen Bedingungen festzulegen, die der künftige Auftragnehmer zu gewährleisten hat, um die Vorgaben des Auftraggebers zu deren Datenschutz- und Datensicherheitsstandards zu sichern sowie die gesetzlichen Anforderungen einzuhalten.</w:t>
      </w:r>
    </w:p>
    <w:p w14:paraId="35C376E1" w14:textId="77777777" w:rsidR="00182F3A" w:rsidRDefault="009308AB">
      <w:pPr>
        <w:numPr>
          <w:ilvl w:val="2"/>
          <w:numId w:val="1"/>
        </w:numPr>
        <w:pBdr>
          <w:top w:val="nil"/>
          <w:left w:val="nil"/>
          <w:bottom w:val="nil"/>
          <w:right w:val="nil"/>
          <w:between w:val="nil"/>
        </w:pBdr>
        <w:spacing w:after="120"/>
        <w:jc w:val="both"/>
        <w:rPr>
          <w:color w:val="000000"/>
          <w:sz w:val="20"/>
          <w:szCs w:val="20"/>
        </w:rPr>
      </w:pPr>
      <w:r>
        <w:rPr>
          <w:rFonts w:ascii="Arial" w:eastAsia="Arial" w:hAnsi="Arial" w:cs="Arial"/>
          <w:b/>
          <w:bCs/>
          <w:color w:val="000000"/>
          <w:sz w:val="20"/>
          <w:szCs w:val="20"/>
        </w:rPr>
        <w:t>Geheimhaltungs- und Nichtverwertungsvereinbarung:</w:t>
      </w:r>
      <w:r>
        <w:rPr>
          <w:rFonts w:ascii="Arial" w:eastAsia="Arial" w:hAnsi="Arial" w:cs="Arial"/>
          <w:color w:val="000000"/>
          <w:sz w:val="20"/>
          <w:szCs w:val="20"/>
        </w:rPr>
        <w:t xml:space="preserve"> Im Rahmen des Vergabeverfahrens und in einer etwaigen darauffolgenden Zusammenarbeit zwischen dem Auftragnehmer und dem Auftraggeber, kann der Auftraggeber dem Auftragnehmer vertrauliche Informationen, Daten, Unterlagen und/oder sonstige nicht allgemein zugängliche Informationen zur Verfügung stellen. Es wird daher vom Bieter bzw. Bietergemeinschaft eine entsprechende Geheimhaltungs- und Nichtverwertungsvereinbarung abgefordert.</w:t>
      </w:r>
    </w:p>
    <w:p w14:paraId="35C376E2" w14:textId="77777777" w:rsidR="00182F3A" w:rsidRDefault="009308AB">
      <w:pPr>
        <w:numPr>
          <w:ilvl w:val="2"/>
          <w:numId w:val="1"/>
        </w:numPr>
        <w:pBdr>
          <w:top w:val="nil"/>
          <w:left w:val="nil"/>
          <w:bottom w:val="nil"/>
          <w:right w:val="nil"/>
          <w:between w:val="nil"/>
        </w:pBdr>
        <w:spacing w:after="120"/>
        <w:jc w:val="both"/>
        <w:rPr>
          <w:color w:val="000000"/>
          <w:sz w:val="20"/>
          <w:szCs w:val="20"/>
        </w:rPr>
      </w:pPr>
      <w:r>
        <w:rPr>
          <w:rFonts w:ascii="Arial" w:eastAsia="Arial" w:hAnsi="Arial" w:cs="Arial"/>
          <w:color w:val="000000"/>
          <w:sz w:val="20"/>
          <w:szCs w:val="20"/>
        </w:rPr>
        <w:t xml:space="preserve">Soweit der Bieter oder die Bietergemeinschaft </w:t>
      </w:r>
      <w:r>
        <w:rPr>
          <w:rFonts w:ascii="Arial" w:eastAsia="Arial" w:hAnsi="Arial" w:cs="Arial"/>
          <w:b/>
          <w:bCs/>
          <w:color w:val="000000"/>
          <w:sz w:val="20"/>
          <w:szCs w:val="20"/>
        </w:rPr>
        <w:t>Unterauftragnehmer</w:t>
      </w:r>
      <w:r>
        <w:rPr>
          <w:rFonts w:ascii="Arial" w:eastAsia="Arial" w:hAnsi="Arial" w:cs="Arial"/>
          <w:color w:val="000000"/>
          <w:sz w:val="20"/>
          <w:szCs w:val="20"/>
        </w:rPr>
        <w:t xml:space="preserve"> einsetzen möchte (</w:t>
      </w:r>
      <w:r>
        <w:rPr>
          <w:rFonts w:ascii="Arial" w:eastAsia="Arial" w:hAnsi="Arial" w:cs="Arial"/>
          <w:b/>
          <w:bCs/>
          <w:color w:val="000000"/>
          <w:sz w:val="20"/>
          <w:szCs w:val="20"/>
        </w:rPr>
        <w:t>Unterauftrag</w:t>
      </w:r>
      <w:r>
        <w:rPr>
          <w:rFonts w:ascii="Arial" w:eastAsia="Arial" w:hAnsi="Arial" w:cs="Arial"/>
          <w:color w:val="000000"/>
          <w:sz w:val="20"/>
          <w:szCs w:val="20"/>
        </w:rPr>
        <w:t>) ist dies durch den Bieter bzw. die Bietergemeinschaft mit dem Formblatt „</w:t>
      </w:r>
      <w:r>
        <w:rPr>
          <w:rFonts w:ascii="Arial" w:eastAsia="Arial" w:hAnsi="Arial" w:cs="Arial"/>
          <w:b/>
          <w:bCs/>
          <w:color w:val="000000"/>
          <w:sz w:val="20"/>
          <w:szCs w:val="20"/>
        </w:rPr>
        <w:t>Erklärung</w:t>
      </w:r>
      <w:r>
        <w:rPr>
          <w:rFonts w:ascii="Arial" w:eastAsia="Arial" w:hAnsi="Arial" w:cs="Arial"/>
          <w:color w:val="000000"/>
          <w:sz w:val="20"/>
          <w:szCs w:val="20"/>
        </w:rPr>
        <w:t xml:space="preserve"> </w:t>
      </w:r>
      <w:r>
        <w:rPr>
          <w:rFonts w:ascii="Arial" w:eastAsia="Arial" w:hAnsi="Arial" w:cs="Arial"/>
          <w:b/>
          <w:bCs/>
          <w:color w:val="000000"/>
          <w:sz w:val="20"/>
          <w:szCs w:val="20"/>
        </w:rPr>
        <w:t>Unteraufträge</w:t>
      </w:r>
      <w:r>
        <w:rPr>
          <w:rFonts w:ascii="Arial" w:eastAsia="Arial" w:hAnsi="Arial" w:cs="Arial"/>
          <w:color w:val="000000"/>
          <w:sz w:val="20"/>
          <w:szCs w:val="20"/>
        </w:rPr>
        <w:t>“ (</w:t>
      </w:r>
      <w:r>
        <w:rPr>
          <w:rFonts w:ascii="Arial" w:eastAsia="Arial" w:hAnsi="Arial" w:cs="Arial"/>
          <w:b/>
          <w:bCs/>
          <w:color w:val="000000"/>
          <w:sz w:val="20"/>
          <w:szCs w:val="20"/>
        </w:rPr>
        <w:t>Anlage 18</w:t>
      </w:r>
      <w:r>
        <w:rPr>
          <w:rFonts w:ascii="Arial" w:eastAsia="Arial" w:hAnsi="Arial" w:cs="Arial"/>
          <w:color w:val="000000"/>
          <w:sz w:val="20"/>
          <w:szCs w:val="20"/>
        </w:rPr>
        <w:t>) zu erklären. Durch den Unterauftragnehmer ist das Formblatt „</w:t>
      </w:r>
      <w:r>
        <w:rPr>
          <w:rFonts w:ascii="Arial" w:eastAsia="Arial" w:hAnsi="Arial" w:cs="Arial"/>
          <w:b/>
          <w:bCs/>
          <w:color w:val="000000"/>
          <w:sz w:val="20"/>
          <w:szCs w:val="20"/>
        </w:rPr>
        <w:t>Verpflichtungserklärung Unterauftragnehmer</w:t>
      </w:r>
      <w:r>
        <w:rPr>
          <w:rFonts w:ascii="Arial" w:eastAsia="Arial" w:hAnsi="Arial" w:cs="Arial"/>
          <w:color w:val="000000"/>
          <w:sz w:val="20"/>
          <w:szCs w:val="20"/>
        </w:rPr>
        <w:t>“ (</w:t>
      </w:r>
      <w:r>
        <w:rPr>
          <w:rFonts w:ascii="Arial" w:eastAsia="Arial" w:hAnsi="Arial" w:cs="Arial"/>
          <w:b/>
          <w:bCs/>
          <w:color w:val="000000"/>
          <w:sz w:val="20"/>
          <w:szCs w:val="20"/>
        </w:rPr>
        <w:t>Anlage 19</w:t>
      </w:r>
      <w:r>
        <w:rPr>
          <w:rFonts w:ascii="Arial" w:eastAsia="Arial" w:hAnsi="Arial" w:cs="Arial"/>
          <w:color w:val="000000"/>
          <w:sz w:val="20"/>
          <w:szCs w:val="20"/>
        </w:rPr>
        <w:t>) einzureichen.</w:t>
      </w:r>
    </w:p>
    <w:p w14:paraId="35C376E3" w14:textId="77777777" w:rsidR="00182F3A" w:rsidRDefault="009308AB">
      <w:pPr>
        <w:pBdr>
          <w:top w:val="nil"/>
          <w:left w:val="nil"/>
          <w:bottom w:val="nil"/>
          <w:right w:val="nil"/>
          <w:between w:val="nil"/>
        </w:pBdr>
        <w:spacing w:before="120" w:after="120"/>
        <w:ind w:left="1134" w:right="108"/>
        <w:jc w:val="both"/>
        <w:rPr>
          <w:rFonts w:ascii="Arial" w:eastAsia="Arial" w:hAnsi="Arial" w:cs="Arial"/>
          <w:color w:val="000000"/>
          <w:sz w:val="20"/>
          <w:szCs w:val="20"/>
        </w:rPr>
      </w:pPr>
      <w:r>
        <w:rPr>
          <w:rFonts w:ascii="Arial" w:eastAsia="Arial" w:hAnsi="Arial" w:cs="Arial"/>
          <w:color w:val="000000"/>
          <w:sz w:val="20"/>
          <w:szCs w:val="20"/>
        </w:rPr>
        <w:t xml:space="preserve">Der Auftraggeber ist nach § 6 Abs. 1 Wettbewerbsregistergesetz bei der Vergabe öffentlicher Aufträge mit einem geschätzten Auftragswert ab 30.000 Euro ohne Umsatzsteuer verpflichtet, vor der Erteilung des Zuschlags abzufragen, ob im </w:t>
      </w:r>
      <w:r>
        <w:rPr>
          <w:rFonts w:ascii="Arial" w:eastAsia="Arial" w:hAnsi="Arial" w:cs="Arial"/>
          <w:b/>
          <w:bCs/>
          <w:color w:val="000000"/>
          <w:sz w:val="20"/>
          <w:szCs w:val="20"/>
        </w:rPr>
        <w:t>Wettbewerbsregister</w:t>
      </w:r>
      <w:r>
        <w:rPr>
          <w:rFonts w:ascii="Arial" w:eastAsia="Arial" w:hAnsi="Arial" w:cs="Arial"/>
          <w:color w:val="000000"/>
          <w:sz w:val="20"/>
          <w:szCs w:val="20"/>
        </w:rPr>
        <w:t xml:space="preserve"> Eintragungen zu demjenigen Bieter, an den der öffentliche Auftraggeber den Auftrag zu vergeben beabsichtigt, gespeichert sind. </w:t>
      </w:r>
    </w:p>
    <w:p w14:paraId="35C376E4" w14:textId="77777777" w:rsidR="00182F3A" w:rsidRDefault="009308AB">
      <w:pPr>
        <w:keepNext/>
        <w:numPr>
          <w:ilvl w:val="1"/>
          <w:numId w:val="5"/>
        </w:numPr>
        <w:pBdr>
          <w:top w:val="nil"/>
          <w:left w:val="nil"/>
          <w:bottom w:val="nil"/>
          <w:right w:val="nil"/>
          <w:between w:val="nil"/>
        </w:pBdr>
        <w:spacing w:before="240" w:after="120"/>
        <w:ind w:left="1134" w:right="170" w:hanging="425"/>
        <w:jc w:val="both"/>
        <w:rPr>
          <w:rFonts w:ascii="Arial" w:eastAsia="Arial" w:hAnsi="Arial" w:cs="Arial"/>
          <w:color w:val="000000"/>
        </w:rPr>
      </w:pPr>
      <w:bookmarkStart w:id="5" w:name="_heading=h.j90y1o9986li" w:colFirst="0" w:colLast="0"/>
      <w:bookmarkEnd w:id="5"/>
      <w:r>
        <w:rPr>
          <w:rFonts w:ascii="Arial" w:eastAsia="Arial" w:hAnsi="Arial" w:cs="Arial"/>
          <w:b/>
          <w:bCs/>
          <w:color w:val="000000"/>
          <w:sz w:val="20"/>
          <w:szCs w:val="20"/>
        </w:rPr>
        <w:t>Einreichen des Angebots</w:t>
      </w:r>
    </w:p>
    <w:p w14:paraId="35C376E5" w14:textId="77777777" w:rsidR="00182F3A" w:rsidRDefault="009308AB">
      <w:pPr>
        <w:keepNext/>
        <w:pBdr>
          <w:top w:val="nil"/>
          <w:left w:val="nil"/>
          <w:bottom w:val="nil"/>
          <w:right w:val="nil"/>
          <w:between w:val="nil"/>
        </w:pBdr>
        <w:spacing w:before="240" w:after="120"/>
        <w:ind w:left="1134" w:right="170"/>
        <w:jc w:val="both"/>
        <w:rPr>
          <w:rFonts w:ascii="Arial" w:eastAsia="Arial" w:hAnsi="Arial" w:cs="Arial"/>
          <w:color w:val="000000"/>
          <w:sz w:val="20"/>
          <w:szCs w:val="20"/>
        </w:rPr>
      </w:pPr>
      <w:r>
        <w:rPr>
          <w:rFonts w:ascii="Arial" w:eastAsia="Arial" w:hAnsi="Arial" w:cs="Arial"/>
          <w:color w:val="000000"/>
          <w:sz w:val="20"/>
          <w:szCs w:val="20"/>
        </w:rPr>
        <w:t>Das Angebot muss spätestens bis zur vorgegebenen Angebotsfrist elektronisch über die Vergabeplattform eingegangen sein (siehe hierzu Ziffer 4 Verfahrensfristen).</w:t>
      </w:r>
    </w:p>
    <w:p w14:paraId="35C376E6" w14:textId="77777777" w:rsidR="00182F3A" w:rsidRDefault="009308AB">
      <w:pPr>
        <w:keepNext/>
        <w:pBdr>
          <w:top w:val="nil"/>
          <w:left w:val="nil"/>
          <w:bottom w:val="nil"/>
          <w:right w:val="nil"/>
          <w:between w:val="nil"/>
        </w:pBdr>
        <w:spacing w:before="240" w:after="120"/>
        <w:ind w:left="1134" w:right="170"/>
        <w:jc w:val="both"/>
        <w:rPr>
          <w:rFonts w:ascii="Arial" w:eastAsia="Arial" w:hAnsi="Arial" w:cs="Arial"/>
          <w:color w:val="000000"/>
          <w:sz w:val="20"/>
          <w:szCs w:val="20"/>
        </w:rPr>
      </w:pPr>
      <w:r>
        <w:rPr>
          <w:rFonts w:ascii="Arial" w:eastAsia="Arial" w:hAnsi="Arial" w:cs="Arial"/>
          <w:color w:val="000000"/>
          <w:sz w:val="20"/>
          <w:szCs w:val="20"/>
        </w:rPr>
        <w:t>Eine Abgabe der Angebote per E-Mail oder Fax ist ausgeschlossen.</w:t>
      </w:r>
    </w:p>
    <w:p w14:paraId="35C376E7" w14:textId="77777777" w:rsidR="00182F3A" w:rsidRDefault="009308AB">
      <w:pPr>
        <w:keepNext/>
        <w:pBdr>
          <w:top w:val="nil"/>
          <w:left w:val="nil"/>
          <w:bottom w:val="nil"/>
          <w:right w:val="nil"/>
          <w:between w:val="nil"/>
        </w:pBdr>
        <w:spacing w:before="240" w:after="120"/>
        <w:ind w:left="1134" w:right="170"/>
        <w:jc w:val="both"/>
        <w:rPr>
          <w:rFonts w:ascii="Arial" w:eastAsia="Arial" w:hAnsi="Arial" w:cs="Arial"/>
          <w:color w:val="000000"/>
          <w:sz w:val="20"/>
          <w:szCs w:val="20"/>
        </w:rPr>
      </w:pPr>
      <w:r>
        <w:rPr>
          <w:rFonts w:ascii="Arial" w:eastAsia="Arial" w:hAnsi="Arial" w:cs="Arial"/>
          <w:color w:val="000000"/>
          <w:sz w:val="20"/>
          <w:szCs w:val="20"/>
        </w:rPr>
        <w:t>Nachträgliche Berichtigungen oder Änderungen des Angebots sind nur bis zum Ablauf der Angebotsfrist zulässig.</w:t>
      </w:r>
    </w:p>
    <w:p w14:paraId="35C376E8" w14:textId="77777777" w:rsidR="00182F3A" w:rsidRDefault="009308AB">
      <w:pPr>
        <w:keepNext/>
        <w:numPr>
          <w:ilvl w:val="1"/>
          <w:numId w:val="5"/>
        </w:numPr>
        <w:pBdr>
          <w:top w:val="nil"/>
          <w:left w:val="nil"/>
          <w:bottom w:val="nil"/>
          <w:right w:val="nil"/>
          <w:between w:val="nil"/>
        </w:pBdr>
        <w:spacing w:before="240" w:after="120"/>
        <w:ind w:left="1134" w:right="170" w:hanging="425"/>
        <w:jc w:val="both"/>
        <w:rPr>
          <w:rFonts w:ascii="Arial" w:eastAsia="Arial" w:hAnsi="Arial" w:cs="Arial"/>
          <w:color w:val="000000"/>
        </w:rPr>
      </w:pPr>
      <w:r>
        <w:rPr>
          <w:rFonts w:ascii="Arial" w:eastAsia="Arial" w:hAnsi="Arial" w:cs="Arial"/>
          <w:b/>
          <w:bCs/>
          <w:color w:val="000000"/>
          <w:sz w:val="20"/>
          <w:szCs w:val="20"/>
        </w:rPr>
        <w:t>Nebenangebote</w:t>
      </w:r>
    </w:p>
    <w:p w14:paraId="35C376E9" w14:textId="77777777" w:rsidR="00182F3A" w:rsidRDefault="009308AB">
      <w:pPr>
        <w:spacing w:before="120" w:after="120"/>
        <w:ind w:left="425" w:firstLine="709"/>
        <w:rPr>
          <w:rFonts w:ascii="Arial" w:eastAsia="Arial" w:hAnsi="Arial" w:cs="Arial"/>
        </w:rPr>
      </w:pPr>
      <w:r>
        <w:rPr>
          <w:rFonts w:ascii="Arial" w:eastAsia="Arial" w:hAnsi="Arial" w:cs="Arial"/>
          <w:sz w:val="20"/>
          <w:szCs w:val="20"/>
        </w:rPr>
        <w:t>Nebenangebote sind nicht zugelassen</w:t>
      </w:r>
      <w:r>
        <w:rPr>
          <w:rFonts w:ascii="Arial" w:eastAsia="Arial" w:hAnsi="Arial" w:cs="Arial"/>
        </w:rPr>
        <w:t xml:space="preserve">. </w:t>
      </w:r>
    </w:p>
    <w:p w14:paraId="35C376EA" w14:textId="77777777" w:rsidR="00182F3A" w:rsidRDefault="009308AB">
      <w:pPr>
        <w:pStyle w:val="Heading2"/>
        <w:keepNext/>
        <w:numPr>
          <w:ilvl w:val="0"/>
          <w:numId w:val="5"/>
        </w:numPr>
      </w:pPr>
      <w:r>
        <w:t xml:space="preserve">Angebotserstellung </w:t>
      </w:r>
    </w:p>
    <w:p w14:paraId="35C376EB" w14:textId="77777777" w:rsidR="00182F3A" w:rsidRDefault="009308AB">
      <w:pPr>
        <w:numPr>
          <w:ilvl w:val="1"/>
          <w:numId w:val="5"/>
        </w:numPr>
        <w:pBdr>
          <w:top w:val="nil"/>
          <w:left w:val="nil"/>
          <w:bottom w:val="nil"/>
          <w:right w:val="nil"/>
          <w:between w:val="nil"/>
        </w:pBdr>
        <w:spacing w:before="240" w:after="120"/>
        <w:ind w:left="1134" w:right="170" w:hanging="425"/>
        <w:jc w:val="both"/>
        <w:rPr>
          <w:rFonts w:ascii="Arial" w:eastAsia="Arial" w:hAnsi="Arial" w:cs="Arial"/>
          <w:color w:val="000000"/>
        </w:rPr>
      </w:pPr>
      <w:bookmarkStart w:id="6" w:name="_heading=h.cjjt1klxnvtt" w:colFirst="0" w:colLast="0"/>
      <w:bookmarkEnd w:id="6"/>
      <w:r>
        <w:rPr>
          <w:rFonts w:ascii="Arial" w:eastAsia="Arial" w:hAnsi="Arial" w:cs="Arial"/>
          <w:color w:val="000000"/>
          <w:sz w:val="20"/>
          <w:szCs w:val="20"/>
        </w:rPr>
        <w:t>Allgemeine Geschäfts-, Liefer- oder Vertragsbedingungen des Bieters werden nicht akzeptiert. Es gelten die Vorgaben der Vergabeunterlagen des Auftraggebers.</w:t>
      </w:r>
      <w:r>
        <w:t xml:space="preserve"> </w:t>
      </w:r>
    </w:p>
    <w:p w14:paraId="35C376EC" w14:textId="77777777" w:rsidR="00182F3A" w:rsidRDefault="009308AB">
      <w:pPr>
        <w:numPr>
          <w:ilvl w:val="1"/>
          <w:numId w:val="5"/>
        </w:numPr>
        <w:pBdr>
          <w:top w:val="nil"/>
          <w:left w:val="nil"/>
          <w:bottom w:val="nil"/>
          <w:right w:val="nil"/>
          <w:between w:val="nil"/>
        </w:pBdr>
        <w:spacing w:before="240" w:after="120"/>
        <w:ind w:left="1134" w:right="170" w:hanging="425"/>
        <w:jc w:val="both"/>
        <w:rPr>
          <w:rFonts w:ascii="Arial" w:eastAsia="Arial" w:hAnsi="Arial" w:cs="Arial"/>
          <w:color w:val="000000"/>
        </w:rPr>
      </w:pPr>
      <w:r>
        <w:rPr>
          <w:rFonts w:ascii="Arial" w:eastAsia="Arial" w:hAnsi="Arial" w:cs="Arial"/>
          <w:color w:val="000000"/>
          <w:sz w:val="20"/>
          <w:szCs w:val="20"/>
        </w:rPr>
        <w:t>Die Bieter binden sich an das von ihnen eingereichte Angebot bis zum Ende der vorgegebenen Bindefrist (siehe Ziffer 4 Verfahrensfristen).</w:t>
      </w:r>
    </w:p>
    <w:p w14:paraId="35C376ED" w14:textId="77777777" w:rsidR="00182F3A" w:rsidRDefault="009308AB">
      <w:pPr>
        <w:numPr>
          <w:ilvl w:val="1"/>
          <w:numId w:val="5"/>
        </w:numPr>
        <w:pBdr>
          <w:top w:val="nil"/>
          <w:left w:val="nil"/>
          <w:bottom w:val="nil"/>
          <w:right w:val="nil"/>
          <w:between w:val="nil"/>
        </w:pBdr>
        <w:spacing w:before="240" w:after="120"/>
        <w:ind w:left="1134" w:right="170" w:hanging="425"/>
        <w:jc w:val="both"/>
        <w:rPr>
          <w:rFonts w:ascii="Arial" w:eastAsia="Arial" w:hAnsi="Arial" w:cs="Arial"/>
          <w:color w:val="000000"/>
        </w:rPr>
      </w:pPr>
      <w:r>
        <w:rPr>
          <w:rFonts w:ascii="Arial" w:eastAsia="Arial" w:hAnsi="Arial" w:cs="Arial"/>
          <w:color w:val="000000"/>
          <w:sz w:val="20"/>
          <w:szCs w:val="20"/>
        </w:rPr>
        <w:t>Die Bieter haben diejenigen Bestandteile des Angebots zu kennzeichnen, die Geschäfts- und / oder Betriebsgeheimnisse beinhalten.</w:t>
      </w:r>
    </w:p>
    <w:p w14:paraId="35C376EE" w14:textId="77777777" w:rsidR="00182F3A" w:rsidRDefault="009308AB">
      <w:pPr>
        <w:keepNext/>
        <w:numPr>
          <w:ilvl w:val="1"/>
          <w:numId w:val="5"/>
        </w:numPr>
        <w:pBdr>
          <w:top w:val="nil"/>
          <w:left w:val="nil"/>
          <w:bottom w:val="nil"/>
          <w:right w:val="nil"/>
          <w:between w:val="nil"/>
        </w:pBdr>
        <w:spacing w:before="240" w:after="120"/>
        <w:ind w:left="1134" w:right="170" w:hanging="425"/>
        <w:jc w:val="both"/>
        <w:rPr>
          <w:rFonts w:ascii="Arial" w:eastAsia="Arial" w:hAnsi="Arial" w:cs="Arial"/>
          <w:color w:val="000000"/>
        </w:rPr>
      </w:pPr>
      <w:r>
        <w:rPr>
          <w:rFonts w:ascii="Arial" w:eastAsia="Arial" w:hAnsi="Arial" w:cs="Arial"/>
          <w:color w:val="000000"/>
          <w:sz w:val="20"/>
          <w:szCs w:val="20"/>
        </w:rPr>
        <w:t xml:space="preserve">Den Bietern werden mit </w:t>
      </w:r>
      <w:r>
        <w:rPr>
          <w:rFonts w:ascii="Arial" w:eastAsia="Arial" w:hAnsi="Arial" w:cs="Arial"/>
          <w:b/>
          <w:bCs/>
          <w:color w:val="000000"/>
          <w:sz w:val="20"/>
          <w:szCs w:val="20"/>
        </w:rPr>
        <w:t xml:space="preserve">Anlage 17 </w:t>
      </w:r>
      <w:r>
        <w:rPr>
          <w:rFonts w:ascii="Arial" w:eastAsia="Arial" w:hAnsi="Arial" w:cs="Arial"/>
          <w:color w:val="000000"/>
          <w:sz w:val="20"/>
          <w:szCs w:val="20"/>
        </w:rPr>
        <w:t xml:space="preserve">die Datenschutzhinweise hinsichtlich der Verarbeitung personenbezogener Daten zum Zwecke der Durchführung des Vergabeverfahrens zur Verfügung gestellt. Diese Hinweise informieren über die Art, den Umfang und die Zwecke der Datenverarbeitung sowie die Rechte der betroffenen Personen im Rahmen des Verfahrens. </w:t>
      </w:r>
    </w:p>
    <w:p w14:paraId="35C376EF" w14:textId="77777777" w:rsidR="00182F3A" w:rsidRDefault="009308AB">
      <w:pPr>
        <w:pStyle w:val="Heading2"/>
        <w:numPr>
          <w:ilvl w:val="0"/>
          <w:numId w:val="5"/>
        </w:numPr>
      </w:pPr>
      <w:r>
        <w:t>Unklarheiten und Fragen</w:t>
      </w:r>
    </w:p>
    <w:p w14:paraId="35C376F0" w14:textId="77777777" w:rsidR="00182F3A" w:rsidRDefault="009308AB">
      <w:pPr>
        <w:pBdr>
          <w:top w:val="nil"/>
          <w:left w:val="nil"/>
          <w:bottom w:val="nil"/>
          <w:right w:val="nil"/>
          <w:between w:val="nil"/>
        </w:pBdr>
        <w:spacing w:before="120" w:after="120"/>
        <w:ind w:left="567" w:right="108"/>
        <w:jc w:val="both"/>
        <w:rPr>
          <w:rFonts w:ascii="Arial" w:eastAsia="Arial" w:hAnsi="Arial" w:cs="Arial"/>
          <w:color w:val="000000"/>
          <w:sz w:val="20"/>
          <w:szCs w:val="20"/>
        </w:rPr>
      </w:pPr>
      <w:bookmarkStart w:id="7" w:name="_heading=h.4d34og8" w:colFirst="0" w:colLast="0"/>
      <w:bookmarkEnd w:id="7"/>
      <w:r>
        <w:rPr>
          <w:rFonts w:ascii="Arial" w:eastAsia="Arial" w:hAnsi="Arial" w:cs="Arial"/>
          <w:color w:val="000000"/>
          <w:sz w:val="20"/>
          <w:szCs w:val="20"/>
        </w:rPr>
        <w:t>Fragen zum Vergabeverfahren bzw. zur Bekanntmachung sind ausschließlich über die Vergabeplattform an die in der Auftragsbekanntmachung benannte Kontaktstelle zu richten. Im Interesse einer zeitigen Beantwortung von Bieterfragen wird höflich darum gebeten, die Fragen möglichst gebündelt und nicht als einzelne Fragen zu übersenden. Es ist nicht gestattet, zusätzliche oder vertrauliche Informationen über das Vergabeverfahren direkt von Mitarbeitern des Auftraggebers oder deren Beratern zu fordern oder zu erlangen.</w:t>
      </w:r>
    </w:p>
    <w:p w14:paraId="35C376F1" w14:textId="77777777" w:rsidR="00182F3A" w:rsidRDefault="009308AB">
      <w:pPr>
        <w:pBdr>
          <w:top w:val="nil"/>
          <w:left w:val="nil"/>
          <w:bottom w:val="nil"/>
          <w:right w:val="nil"/>
          <w:between w:val="nil"/>
        </w:pBdr>
        <w:spacing w:before="120" w:after="120"/>
        <w:ind w:left="567" w:right="108"/>
        <w:jc w:val="both"/>
        <w:rPr>
          <w:rFonts w:ascii="Arial" w:eastAsia="Arial" w:hAnsi="Arial" w:cs="Arial"/>
          <w:color w:val="000000"/>
          <w:sz w:val="20"/>
          <w:szCs w:val="20"/>
        </w:rPr>
      </w:pPr>
      <w:r>
        <w:rPr>
          <w:rFonts w:ascii="Arial" w:eastAsia="Arial" w:hAnsi="Arial" w:cs="Arial"/>
          <w:color w:val="000000"/>
          <w:sz w:val="20"/>
          <w:szCs w:val="20"/>
        </w:rPr>
        <w:t>Der Auftraggeber beantwortet ausschließlich Fragen, deren Beantwortung für die Erstellung des Angebots erforderlich sind. Die Fragen der Bieter werden gesammelt, sortiert und in angemessener Frist beantwortet. Sofern Fragen nicht unternehmensspezifische Sachverhalte betreffen, werden die Fragen und Antworten in anonymisierter Form allen Bietern über die Vergabeplattform zur Verfügung gestellt.</w:t>
      </w:r>
    </w:p>
    <w:p w14:paraId="35C376F2" w14:textId="77777777" w:rsidR="00182F3A" w:rsidRDefault="009308AB">
      <w:pPr>
        <w:pBdr>
          <w:top w:val="nil"/>
          <w:left w:val="nil"/>
          <w:bottom w:val="nil"/>
          <w:right w:val="nil"/>
          <w:between w:val="nil"/>
        </w:pBdr>
        <w:spacing w:before="120" w:after="120"/>
        <w:ind w:left="567" w:right="108"/>
        <w:jc w:val="both"/>
        <w:rPr>
          <w:rFonts w:ascii="Arial" w:eastAsia="Arial" w:hAnsi="Arial" w:cs="Arial"/>
          <w:color w:val="000000"/>
          <w:sz w:val="20"/>
          <w:szCs w:val="20"/>
        </w:rPr>
      </w:pPr>
      <w:r>
        <w:rPr>
          <w:rFonts w:ascii="Arial" w:eastAsia="Arial" w:hAnsi="Arial" w:cs="Arial"/>
          <w:color w:val="000000"/>
          <w:sz w:val="20"/>
          <w:szCs w:val="20"/>
        </w:rPr>
        <w:t>Um die Fragen im Sinne der vergaberechtlichen Gleichbehandlung gegenüber allen Bietern beantworten zu können, müssen sie bis zum Ablauf der in Ziffer 4 Verfahrensfristen genannten Frist gestellt werden. Auf die Beantwortung später gestellter Fragen besteht kein Anspruch.</w:t>
      </w:r>
    </w:p>
    <w:p w14:paraId="35C376F3" w14:textId="77777777" w:rsidR="00182F3A" w:rsidRDefault="009308AB">
      <w:pPr>
        <w:pBdr>
          <w:top w:val="nil"/>
          <w:left w:val="nil"/>
          <w:bottom w:val="nil"/>
          <w:right w:val="nil"/>
          <w:between w:val="nil"/>
        </w:pBdr>
        <w:spacing w:before="120" w:after="120"/>
        <w:ind w:left="567" w:right="108"/>
        <w:jc w:val="both"/>
        <w:rPr>
          <w:rFonts w:ascii="Arial" w:eastAsia="Arial" w:hAnsi="Arial" w:cs="Arial"/>
          <w:color w:val="000000"/>
          <w:sz w:val="20"/>
          <w:szCs w:val="20"/>
        </w:rPr>
      </w:pPr>
      <w:r>
        <w:rPr>
          <w:rFonts w:ascii="Arial" w:eastAsia="Arial" w:hAnsi="Arial" w:cs="Arial"/>
          <w:color w:val="000000"/>
          <w:sz w:val="20"/>
          <w:szCs w:val="20"/>
        </w:rPr>
        <w:t>Die den Bietern übermittelten anonymisierten Fragen und Antworten werden verbindlicher Teil der Vergabeunterlagen.</w:t>
      </w:r>
    </w:p>
    <w:p w14:paraId="35C376F4" w14:textId="77777777" w:rsidR="00182F3A" w:rsidRDefault="009308AB">
      <w:pPr>
        <w:pBdr>
          <w:top w:val="nil"/>
          <w:left w:val="nil"/>
          <w:bottom w:val="nil"/>
          <w:right w:val="nil"/>
          <w:between w:val="nil"/>
        </w:pBdr>
        <w:spacing w:before="120" w:after="120"/>
        <w:ind w:left="567" w:right="108"/>
        <w:jc w:val="both"/>
        <w:rPr>
          <w:rFonts w:ascii="Arial" w:eastAsia="Arial" w:hAnsi="Arial" w:cs="Arial"/>
          <w:color w:val="000000"/>
          <w:sz w:val="20"/>
          <w:szCs w:val="20"/>
        </w:rPr>
      </w:pPr>
      <w:r>
        <w:rPr>
          <w:rFonts w:ascii="Arial" w:eastAsia="Arial" w:hAnsi="Arial" w:cs="Arial"/>
          <w:color w:val="000000"/>
          <w:sz w:val="20"/>
          <w:szCs w:val="20"/>
        </w:rPr>
        <w:t>Sollten Bieterfragen Betriebs- und Geschäftsgeheimnisse enthalten sein, ist hierauf mit der Fragestellung hinzuweisen. Erfolgt ein solcher Hinweis nicht, geht der Auftraggeber im Zweifel von der Zustimmung zur Veröffentlichung aus. Aufklärungsfragen bleiben insoweit vorbehalten.</w:t>
      </w:r>
    </w:p>
    <w:p w14:paraId="35C376F5" w14:textId="77777777" w:rsidR="00182F3A" w:rsidRDefault="009308AB">
      <w:pPr>
        <w:pStyle w:val="Heading2"/>
        <w:numPr>
          <w:ilvl w:val="0"/>
          <w:numId w:val="5"/>
        </w:numPr>
      </w:pPr>
      <w:bookmarkStart w:id="8" w:name="bookmark=id.taxjk4zf7l4d" w:colFirst="0" w:colLast="0"/>
      <w:bookmarkEnd w:id="8"/>
      <w:r>
        <w:t>Prüfung und Wertung der Angebote</w:t>
      </w:r>
    </w:p>
    <w:p w14:paraId="35C376F6" w14:textId="77777777" w:rsidR="00182F3A" w:rsidRDefault="009308AB">
      <w:pPr>
        <w:numPr>
          <w:ilvl w:val="1"/>
          <w:numId w:val="5"/>
        </w:numPr>
        <w:pBdr>
          <w:top w:val="nil"/>
          <w:left w:val="nil"/>
          <w:bottom w:val="nil"/>
          <w:right w:val="nil"/>
          <w:between w:val="nil"/>
        </w:pBdr>
        <w:spacing w:before="240" w:after="120"/>
        <w:ind w:left="1134" w:right="170" w:hanging="425"/>
        <w:jc w:val="both"/>
        <w:rPr>
          <w:rFonts w:ascii="Arial" w:eastAsia="Arial" w:hAnsi="Arial" w:cs="Arial"/>
          <w:color w:val="000000"/>
        </w:rPr>
      </w:pPr>
      <w:r>
        <w:rPr>
          <w:rFonts w:ascii="Arial" w:eastAsia="Arial" w:hAnsi="Arial" w:cs="Arial"/>
          <w:color w:val="000000"/>
          <w:sz w:val="20"/>
          <w:szCs w:val="20"/>
        </w:rPr>
        <w:t>Zunächst erstellen die Bieter auf Grundlage der Vergabeunterlagen und unter Berücksichtigung der Antworten des Auftraggebers auf etwaige Bieterfragen ein verbindliches Angebot, das sie innerhalb der genannten Frist einreichen.</w:t>
      </w:r>
    </w:p>
    <w:p w14:paraId="35C376F7" w14:textId="77777777" w:rsidR="00182F3A" w:rsidRDefault="009308AB">
      <w:pPr>
        <w:numPr>
          <w:ilvl w:val="1"/>
          <w:numId w:val="5"/>
        </w:numPr>
        <w:pBdr>
          <w:top w:val="nil"/>
          <w:left w:val="nil"/>
          <w:bottom w:val="nil"/>
          <w:right w:val="nil"/>
          <w:between w:val="nil"/>
        </w:pBdr>
        <w:spacing w:before="240" w:after="120"/>
        <w:ind w:left="1134" w:right="170" w:hanging="425"/>
        <w:jc w:val="both"/>
        <w:rPr>
          <w:rFonts w:ascii="Arial" w:eastAsia="Arial" w:hAnsi="Arial" w:cs="Arial"/>
          <w:color w:val="000000"/>
        </w:rPr>
      </w:pPr>
      <w:r>
        <w:rPr>
          <w:rFonts w:ascii="Arial" w:eastAsia="Arial" w:hAnsi="Arial" w:cs="Arial"/>
          <w:color w:val="000000"/>
          <w:sz w:val="20"/>
          <w:szCs w:val="20"/>
        </w:rPr>
        <w:t>Der Auftraggeber wird die Angebote gemäß §§ 42, 56 VgV prüfen. In den Fällen des § 56 Abs. 2 und 3 VgV behält er sich vor, die fehlenden, unvollständigen oder ggf. fehlerhaften Unterlagen nachzufordern.</w:t>
      </w:r>
    </w:p>
    <w:p w14:paraId="35C376F8" w14:textId="77777777" w:rsidR="00182F3A" w:rsidRDefault="009308AB">
      <w:pPr>
        <w:keepNext/>
        <w:numPr>
          <w:ilvl w:val="1"/>
          <w:numId w:val="5"/>
        </w:numPr>
        <w:pBdr>
          <w:top w:val="nil"/>
          <w:left w:val="nil"/>
          <w:bottom w:val="nil"/>
          <w:right w:val="nil"/>
          <w:between w:val="nil"/>
        </w:pBdr>
        <w:spacing w:before="240" w:after="120"/>
        <w:ind w:left="1134" w:right="170" w:hanging="425"/>
        <w:jc w:val="both"/>
        <w:rPr>
          <w:rFonts w:ascii="Arial" w:eastAsia="Arial" w:hAnsi="Arial" w:cs="Arial"/>
          <w:color w:val="000000"/>
        </w:rPr>
      </w:pPr>
      <w:r>
        <w:rPr>
          <w:rFonts w:ascii="Arial" w:eastAsia="Arial" w:hAnsi="Arial" w:cs="Arial"/>
          <w:color w:val="000000"/>
          <w:sz w:val="20"/>
          <w:szCs w:val="20"/>
        </w:rPr>
        <w:t xml:space="preserve">Diejenigen Angebote, mit denen die Eignung nachgewiesen worden ist und die nicht nach § 57 VgV ausgeschlossen werden, werden anhand der Zuschlagskriterien bewertet. Dabei gelten folgende Maßgaben: </w:t>
      </w:r>
    </w:p>
    <w:p w14:paraId="35C376F9" w14:textId="77777777" w:rsidR="00182F3A" w:rsidRDefault="009308AB">
      <w:pPr>
        <w:keepNext/>
        <w:pBdr>
          <w:top w:val="nil"/>
          <w:left w:val="nil"/>
          <w:bottom w:val="nil"/>
          <w:right w:val="nil"/>
          <w:between w:val="nil"/>
        </w:pBdr>
        <w:spacing w:before="240" w:after="120"/>
        <w:ind w:left="567" w:right="170"/>
        <w:jc w:val="both"/>
        <w:rPr>
          <w:rFonts w:ascii="Arial" w:eastAsia="Arial" w:hAnsi="Arial" w:cs="Arial"/>
          <w:b/>
          <w:bCs/>
          <w:color w:val="000000"/>
          <w:sz w:val="20"/>
          <w:szCs w:val="20"/>
          <w:u w:val="single"/>
        </w:rPr>
      </w:pPr>
      <w:r>
        <w:rPr>
          <w:rFonts w:ascii="Arial" w:eastAsia="Arial" w:hAnsi="Arial" w:cs="Arial"/>
          <w:b/>
          <w:bCs/>
          <w:color w:val="000000"/>
          <w:sz w:val="20"/>
          <w:szCs w:val="20"/>
          <w:u w:val="single"/>
        </w:rPr>
        <w:t>Die Bewertung erfolgt nach folgendem Schema:</w:t>
      </w:r>
    </w:p>
    <w:p w14:paraId="35C376FA" w14:textId="77777777" w:rsidR="00182F3A" w:rsidRDefault="009308AB">
      <w:pPr>
        <w:pBdr>
          <w:top w:val="nil"/>
          <w:left w:val="nil"/>
          <w:bottom w:val="nil"/>
          <w:right w:val="nil"/>
          <w:between w:val="nil"/>
        </w:pBdr>
        <w:spacing w:before="120" w:after="120"/>
        <w:ind w:left="567" w:right="108"/>
        <w:jc w:val="both"/>
        <w:rPr>
          <w:rFonts w:ascii="Arial" w:eastAsia="Arial" w:hAnsi="Arial" w:cs="Arial"/>
          <w:color w:val="000000"/>
          <w:sz w:val="20"/>
          <w:szCs w:val="20"/>
        </w:rPr>
      </w:pPr>
      <w:r>
        <w:rPr>
          <w:rFonts w:ascii="Arial" w:eastAsia="Arial" w:hAnsi="Arial" w:cs="Arial"/>
          <w:color w:val="000000"/>
          <w:sz w:val="20"/>
          <w:szCs w:val="20"/>
        </w:rPr>
        <w:t>Der Zuschlag wird auf das wirtschaftlichste Angebot erteilt (entsprechend § 127 Abs. 1 GWB i.V.m. § 58 Abs. 1 VgV). Die Ermittlung des wirtschaftlichsten Angebots erfolgt nach der folgenden Formel:</w:t>
      </w:r>
    </w:p>
    <w:p w14:paraId="35C376FB" w14:textId="77777777" w:rsidR="00182F3A" w:rsidRDefault="009308AB">
      <w:pPr>
        <w:jc w:val="center"/>
        <w:rPr>
          <w:rFonts w:ascii="Cambria Math" w:eastAsia="Cambria Math" w:hAnsi="Cambria Math" w:cs="Cambria Math"/>
          <w:color w:val="000000"/>
          <w:sz w:val="20"/>
          <w:szCs w:val="20"/>
        </w:rPr>
      </w:pPr>
      <m:oMathPara>
        <m:oMath>
          <m:r>
            <w:rPr>
              <w:rFonts w:ascii="Cambria Math" w:eastAsia="Cambria Math" w:hAnsi="Cambria Math" w:cs="Cambria Math"/>
              <w:color w:val="000000"/>
              <w:sz w:val="20"/>
              <w:szCs w:val="20"/>
            </w:rPr>
            <m:t>Z=L+</m:t>
          </m:r>
          <m:sSup>
            <m:sSupPr>
              <m:ctrlPr>
                <w:rPr>
                  <w:rFonts w:ascii="Cambria Math" w:eastAsia="Cambria Math" w:hAnsi="Cambria Math" w:cs="Cambria Math"/>
                  <w:color w:val="000000"/>
                  <w:sz w:val="20"/>
                  <w:szCs w:val="20"/>
                </w:rPr>
              </m:ctrlPr>
            </m:sSupPr>
            <m:e>
              <m:r>
                <w:rPr>
                  <w:rFonts w:ascii="Cambria Math" w:eastAsia="Cambria Math" w:hAnsi="Cambria Math" w:cs="Cambria Math"/>
                  <w:color w:val="000000"/>
                  <w:sz w:val="20"/>
                  <w:szCs w:val="20"/>
                </w:rPr>
                <m:t>P</m:t>
              </m:r>
            </m:e>
            <m:sup/>
          </m:sSup>
        </m:oMath>
      </m:oMathPara>
    </w:p>
    <w:p w14:paraId="35C376FC" w14:textId="77777777" w:rsidR="00182F3A" w:rsidRDefault="009308AB">
      <w:pPr>
        <w:pBdr>
          <w:top w:val="nil"/>
          <w:left w:val="nil"/>
          <w:bottom w:val="nil"/>
          <w:right w:val="nil"/>
          <w:between w:val="nil"/>
        </w:pBdr>
        <w:spacing w:before="120" w:after="120"/>
        <w:ind w:left="567" w:right="108"/>
        <w:jc w:val="both"/>
        <w:rPr>
          <w:rFonts w:ascii="Arial" w:eastAsia="Arial" w:hAnsi="Arial" w:cs="Arial"/>
          <w:color w:val="000000"/>
          <w:sz w:val="20"/>
          <w:szCs w:val="20"/>
        </w:rPr>
      </w:pPr>
      <w:r>
        <w:rPr>
          <w:rFonts w:ascii="Arial" w:eastAsia="Arial" w:hAnsi="Arial" w:cs="Arial"/>
          <w:color w:val="000000"/>
          <w:sz w:val="20"/>
          <w:szCs w:val="20"/>
        </w:rPr>
        <w:t xml:space="preserve">Das Angebot mit der größten Kennzahl Z ist das wirtschaftlichste Angebot. </w:t>
      </w:r>
    </w:p>
    <w:p w14:paraId="35C376FD" w14:textId="77777777" w:rsidR="00182F3A" w:rsidRDefault="009308AB">
      <w:pPr>
        <w:pBdr>
          <w:top w:val="nil"/>
          <w:left w:val="nil"/>
          <w:bottom w:val="nil"/>
          <w:right w:val="nil"/>
          <w:between w:val="nil"/>
        </w:pBdr>
        <w:spacing w:before="120" w:after="120"/>
        <w:ind w:left="567" w:right="108"/>
        <w:jc w:val="both"/>
        <w:rPr>
          <w:rFonts w:ascii="Arial" w:eastAsia="Arial" w:hAnsi="Arial" w:cs="Arial"/>
          <w:color w:val="000000"/>
          <w:sz w:val="20"/>
          <w:szCs w:val="20"/>
        </w:rPr>
      </w:pPr>
      <w:r>
        <w:rPr>
          <w:rFonts w:ascii="Arial" w:eastAsia="Arial" w:hAnsi="Arial" w:cs="Arial"/>
          <w:color w:val="000000"/>
          <w:sz w:val="20"/>
          <w:szCs w:val="20"/>
        </w:rPr>
        <w:t>Im Falle eines Punktegleichstands erhält das Angebot mit der höchsten Kennzahl L den Vorzug.</w:t>
      </w:r>
    </w:p>
    <w:p w14:paraId="35C376FE" w14:textId="77777777" w:rsidR="00182F3A" w:rsidRDefault="009308AB">
      <w:pPr>
        <w:numPr>
          <w:ilvl w:val="0"/>
          <w:numId w:val="2"/>
        </w:numPr>
        <w:pBdr>
          <w:top w:val="nil"/>
          <w:left w:val="nil"/>
          <w:bottom w:val="nil"/>
          <w:right w:val="nil"/>
          <w:between w:val="nil"/>
        </w:pBdr>
        <w:spacing w:before="120" w:after="120" w:line="360" w:lineRule="auto"/>
        <w:ind w:right="108"/>
        <w:jc w:val="both"/>
        <w:rPr>
          <w:rFonts w:ascii="Arial" w:eastAsia="Arial" w:hAnsi="Arial" w:cs="Arial"/>
          <w:b/>
          <w:bCs/>
          <w:color w:val="000000"/>
        </w:rPr>
      </w:pPr>
      <w:r>
        <w:rPr>
          <w:rFonts w:ascii="Arial" w:eastAsia="Arial" w:hAnsi="Arial" w:cs="Arial"/>
          <w:b/>
          <w:bCs/>
          <w:color w:val="000000"/>
          <w:sz w:val="20"/>
          <w:szCs w:val="20"/>
        </w:rPr>
        <w:t>Kennzahl L</w:t>
      </w:r>
    </w:p>
    <w:p w14:paraId="35C376FF" w14:textId="76B9717E" w:rsidR="00182F3A" w:rsidRDefault="009308AB">
      <w:pPr>
        <w:pBdr>
          <w:top w:val="nil"/>
          <w:left w:val="nil"/>
          <w:bottom w:val="nil"/>
          <w:right w:val="nil"/>
          <w:between w:val="nil"/>
        </w:pBdr>
        <w:spacing w:before="120" w:after="120"/>
        <w:ind w:left="567" w:right="108"/>
        <w:jc w:val="both"/>
        <w:rPr>
          <w:rFonts w:ascii="Arial" w:eastAsia="Arial" w:hAnsi="Arial" w:cs="Arial"/>
          <w:color w:val="000000"/>
          <w:sz w:val="20"/>
          <w:szCs w:val="20"/>
        </w:rPr>
      </w:pPr>
      <w:r>
        <w:rPr>
          <w:rFonts w:ascii="Arial" w:eastAsia="Arial" w:hAnsi="Arial" w:cs="Arial"/>
          <w:color w:val="000000"/>
          <w:sz w:val="20"/>
          <w:szCs w:val="20"/>
        </w:rPr>
        <w:t>Die Kennzahl L wird anhand der in der Bewertungsmatrix (</w:t>
      </w:r>
      <w:r>
        <w:rPr>
          <w:rFonts w:ascii="Arial" w:eastAsia="Arial" w:hAnsi="Arial" w:cs="Arial"/>
          <w:b/>
          <w:bCs/>
          <w:color w:val="000000"/>
          <w:sz w:val="20"/>
          <w:szCs w:val="20"/>
        </w:rPr>
        <w:t>Anlage 05</w:t>
      </w:r>
      <w:r>
        <w:rPr>
          <w:rFonts w:ascii="Arial" w:eastAsia="Arial" w:hAnsi="Arial" w:cs="Arial"/>
          <w:color w:val="000000"/>
          <w:sz w:val="20"/>
          <w:szCs w:val="20"/>
        </w:rPr>
        <w:t xml:space="preserve">) aufgeführten Bewertungskriterien berechnet. Bei der Ermittlung der Kennzahl L wird die Erfüllung des jeweiligen Bewertungskriteriums im Angebot des Bieters gemäß des Wertungsmaßstabs in der Bewertungsmatrix bewertet. Der Bieter reicht mit seinem Angebot ein entsprechendes Konzept, bestehend aus zwei Kapiteln, sowie das Profil des Projektleiters und Referenzen für die auftragsgegenständliche Leistung ein. </w:t>
      </w:r>
      <w:r w:rsidR="00587F02">
        <w:rPr>
          <w:rFonts w:ascii="Arial" w:eastAsia="Arial" w:hAnsi="Arial" w:cs="Arial"/>
          <w:color w:val="000000"/>
          <w:sz w:val="20"/>
          <w:szCs w:val="20"/>
        </w:rPr>
        <w:t>Fü</w:t>
      </w:r>
      <w:r w:rsidR="001F66BD">
        <w:rPr>
          <w:rFonts w:ascii="Arial" w:eastAsia="Arial" w:hAnsi="Arial" w:cs="Arial"/>
          <w:color w:val="000000"/>
          <w:sz w:val="20"/>
          <w:szCs w:val="20"/>
        </w:rPr>
        <w:t xml:space="preserve">r die Angaben </w:t>
      </w:r>
      <w:r w:rsidR="008F21EF">
        <w:rPr>
          <w:rFonts w:ascii="Arial" w:eastAsia="Arial" w:hAnsi="Arial" w:cs="Arial"/>
          <w:color w:val="000000"/>
          <w:sz w:val="20"/>
          <w:szCs w:val="20"/>
        </w:rPr>
        <w:t xml:space="preserve">zum Projektleiter </w:t>
      </w:r>
      <w:r w:rsidR="00B936F5">
        <w:rPr>
          <w:rFonts w:ascii="Arial" w:eastAsia="Arial" w:hAnsi="Arial" w:cs="Arial"/>
          <w:color w:val="000000"/>
          <w:sz w:val="20"/>
          <w:szCs w:val="20"/>
        </w:rPr>
        <w:t xml:space="preserve">ist die Anlage </w:t>
      </w:r>
      <w:r w:rsidR="000B6DD8">
        <w:rPr>
          <w:rFonts w:ascii="Arial" w:eastAsia="Arial" w:hAnsi="Arial" w:cs="Arial"/>
          <w:color w:val="000000"/>
          <w:sz w:val="20"/>
          <w:szCs w:val="20"/>
        </w:rPr>
        <w:t>Mitarbeiterreferenzen (</w:t>
      </w:r>
      <w:r w:rsidR="000B6DD8" w:rsidRPr="00090728">
        <w:rPr>
          <w:rFonts w:ascii="Arial" w:eastAsia="Arial" w:hAnsi="Arial" w:cs="Arial"/>
          <w:b/>
          <w:color w:val="000000"/>
          <w:sz w:val="20"/>
          <w:szCs w:val="20"/>
        </w:rPr>
        <w:t>Anlage 05a</w:t>
      </w:r>
      <w:r w:rsidR="000B6DD8">
        <w:rPr>
          <w:rFonts w:ascii="Arial" w:eastAsia="Arial" w:hAnsi="Arial" w:cs="Arial"/>
          <w:color w:val="000000"/>
          <w:sz w:val="20"/>
          <w:szCs w:val="20"/>
        </w:rPr>
        <w:t xml:space="preserve">) </w:t>
      </w:r>
      <w:r w:rsidR="00DE3339">
        <w:rPr>
          <w:rFonts w:ascii="Arial" w:eastAsia="Arial" w:hAnsi="Arial" w:cs="Arial"/>
          <w:color w:val="000000"/>
          <w:sz w:val="20"/>
          <w:szCs w:val="20"/>
        </w:rPr>
        <w:t>vollständig ausgefüllt mit dem Angebot einzureichen.</w:t>
      </w:r>
      <w:r w:rsidR="000B6DD8">
        <w:rPr>
          <w:rFonts w:ascii="Arial" w:eastAsia="Arial" w:hAnsi="Arial" w:cs="Arial"/>
          <w:color w:val="000000"/>
          <w:sz w:val="20"/>
          <w:szCs w:val="20"/>
        </w:rPr>
        <w:t xml:space="preserve"> </w:t>
      </w:r>
      <w:r w:rsidR="008F21EF">
        <w:rPr>
          <w:rFonts w:ascii="Arial" w:eastAsia="Arial" w:hAnsi="Arial" w:cs="Arial"/>
          <w:color w:val="000000"/>
          <w:sz w:val="20"/>
          <w:szCs w:val="20"/>
        </w:rPr>
        <w:t xml:space="preserve"> </w:t>
      </w:r>
      <w:r>
        <w:rPr>
          <w:rFonts w:ascii="Arial" w:eastAsia="Arial" w:hAnsi="Arial" w:cs="Arial"/>
          <w:color w:val="000000"/>
          <w:sz w:val="20"/>
          <w:szCs w:val="20"/>
        </w:rPr>
        <w:t xml:space="preserve"> Insgesamt kann der Bieter hier maximal 6</w:t>
      </w:r>
      <w:r w:rsidR="00AE4EEA">
        <w:rPr>
          <w:rFonts w:ascii="Arial" w:eastAsia="Arial" w:hAnsi="Arial" w:cs="Arial"/>
          <w:color w:val="000000"/>
          <w:sz w:val="20"/>
          <w:szCs w:val="20"/>
        </w:rPr>
        <w:t>0</w:t>
      </w:r>
      <w:r>
        <w:rPr>
          <w:rFonts w:ascii="Arial" w:eastAsia="Arial" w:hAnsi="Arial" w:cs="Arial"/>
          <w:color w:val="000000"/>
          <w:sz w:val="20"/>
          <w:szCs w:val="20"/>
        </w:rPr>
        <w:t>0 Leistungspunkte erreichen. Das errechnete Produkt geht somit mit einer Gewichtung von 60 % in die Berechnung des Wertes Z ein.</w:t>
      </w:r>
    </w:p>
    <w:p w14:paraId="35C37700" w14:textId="77777777" w:rsidR="00182F3A" w:rsidRDefault="009308AB">
      <w:pPr>
        <w:keepNext/>
        <w:numPr>
          <w:ilvl w:val="0"/>
          <w:numId w:val="2"/>
        </w:numPr>
        <w:pBdr>
          <w:top w:val="nil"/>
          <w:left w:val="nil"/>
          <w:bottom w:val="nil"/>
          <w:right w:val="nil"/>
          <w:between w:val="nil"/>
        </w:pBdr>
        <w:spacing w:before="120" w:after="120" w:line="360" w:lineRule="auto"/>
        <w:ind w:left="924" w:hanging="357"/>
        <w:jc w:val="both"/>
        <w:rPr>
          <w:rFonts w:ascii="Arial" w:eastAsia="Arial" w:hAnsi="Arial" w:cs="Arial"/>
          <w:b/>
          <w:bCs/>
          <w:color w:val="000000"/>
        </w:rPr>
      </w:pPr>
      <w:r>
        <w:rPr>
          <w:rFonts w:ascii="Arial" w:eastAsia="Arial" w:hAnsi="Arial" w:cs="Arial"/>
          <w:b/>
          <w:bCs/>
          <w:color w:val="000000"/>
          <w:sz w:val="20"/>
          <w:szCs w:val="20"/>
        </w:rPr>
        <w:t>Kennzahl P</w:t>
      </w:r>
    </w:p>
    <w:p w14:paraId="35C37701" w14:textId="77777777" w:rsidR="00182F3A" w:rsidRDefault="009308AB">
      <w:pPr>
        <w:pBdr>
          <w:top w:val="nil"/>
          <w:left w:val="nil"/>
          <w:bottom w:val="nil"/>
          <w:right w:val="nil"/>
          <w:between w:val="nil"/>
        </w:pBdr>
        <w:spacing w:before="120" w:after="120"/>
        <w:ind w:left="567" w:right="108"/>
        <w:jc w:val="both"/>
        <w:rPr>
          <w:rFonts w:ascii="Arial" w:eastAsia="Arial" w:hAnsi="Arial" w:cs="Arial"/>
          <w:color w:val="000000"/>
          <w:sz w:val="20"/>
          <w:szCs w:val="20"/>
        </w:rPr>
      </w:pPr>
      <w:r>
        <w:rPr>
          <w:rFonts w:ascii="Arial" w:eastAsia="Arial" w:hAnsi="Arial" w:cs="Arial"/>
          <w:color w:val="000000"/>
          <w:sz w:val="20"/>
          <w:szCs w:val="20"/>
        </w:rPr>
        <w:t xml:space="preserve">Die Kennzahl P wird anhand des </w:t>
      </w:r>
      <w:r>
        <w:rPr>
          <w:rFonts w:ascii="Arial" w:eastAsia="Arial" w:hAnsi="Arial" w:cs="Arial"/>
          <w:b/>
          <w:bCs/>
          <w:color w:val="000000"/>
          <w:sz w:val="20"/>
          <w:szCs w:val="20"/>
        </w:rPr>
        <w:t>Preisblatts</w:t>
      </w:r>
      <w:r>
        <w:rPr>
          <w:rFonts w:ascii="Arial" w:eastAsia="Arial" w:hAnsi="Arial" w:cs="Arial"/>
          <w:color w:val="000000"/>
          <w:sz w:val="20"/>
          <w:szCs w:val="20"/>
        </w:rPr>
        <w:t xml:space="preserve"> (</w:t>
      </w:r>
      <w:r>
        <w:rPr>
          <w:rFonts w:ascii="Arial" w:eastAsia="Arial" w:hAnsi="Arial" w:cs="Arial"/>
          <w:b/>
          <w:bCs/>
          <w:color w:val="000000"/>
          <w:sz w:val="20"/>
          <w:szCs w:val="20"/>
        </w:rPr>
        <w:t>Anlage 04</w:t>
      </w:r>
      <w:r>
        <w:rPr>
          <w:rFonts w:ascii="Arial" w:eastAsia="Arial" w:hAnsi="Arial" w:cs="Arial"/>
          <w:color w:val="000000"/>
          <w:sz w:val="20"/>
          <w:szCs w:val="20"/>
        </w:rPr>
        <w:t>) berechnet.</w:t>
      </w:r>
    </w:p>
    <w:p w14:paraId="35C37702" w14:textId="3976CA7B" w:rsidR="00182F3A" w:rsidRDefault="009308AB">
      <w:pPr>
        <w:pBdr>
          <w:top w:val="nil"/>
          <w:left w:val="nil"/>
          <w:bottom w:val="nil"/>
          <w:right w:val="nil"/>
          <w:between w:val="nil"/>
        </w:pBdr>
        <w:spacing w:before="120" w:after="120"/>
        <w:ind w:left="567" w:right="108"/>
        <w:jc w:val="both"/>
        <w:rPr>
          <w:rFonts w:ascii="Arial" w:eastAsia="Arial" w:hAnsi="Arial" w:cs="Arial"/>
          <w:color w:val="000000"/>
          <w:sz w:val="20"/>
          <w:szCs w:val="20"/>
        </w:rPr>
      </w:pPr>
      <w:r>
        <w:rPr>
          <w:rFonts w:ascii="Arial" w:eastAsia="Arial" w:hAnsi="Arial" w:cs="Arial"/>
          <w:color w:val="000000"/>
          <w:sz w:val="20"/>
          <w:szCs w:val="20"/>
        </w:rPr>
        <w:t xml:space="preserve">Für die Durchführung des Vorhabens stehen dem Auftraggeber Haushaltsmittel in Höhe von </w:t>
      </w:r>
      <w:r>
        <w:rPr>
          <w:rFonts w:ascii="Arial" w:eastAsia="Arial" w:hAnsi="Arial" w:cs="Arial"/>
          <w:b/>
          <w:bCs/>
          <w:color w:val="000000"/>
          <w:sz w:val="20"/>
          <w:szCs w:val="20"/>
        </w:rPr>
        <w:t xml:space="preserve">EUR </w:t>
      </w:r>
      <w:r>
        <w:rPr>
          <w:rFonts w:ascii="Arial" w:eastAsia="Arial" w:hAnsi="Arial" w:cs="Arial"/>
          <w:b/>
          <w:bCs/>
          <w:sz w:val="20"/>
          <w:szCs w:val="20"/>
        </w:rPr>
        <w:t>1.055.000 EUR brutto</w:t>
      </w:r>
      <w:r>
        <w:rPr>
          <w:rFonts w:ascii="Arial" w:eastAsia="Arial" w:hAnsi="Arial" w:cs="Arial"/>
          <w:b/>
          <w:bCs/>
          <w:color w:val="000000"/>
          <w:sz w:val="20"/>
          <w:szCs w:val="20"/>
        </w:rPr>
        <w:t xml:space="preserve"> </w:t>
      </w:r>
      <w:r>
        <w:rPr>
          <w:rFonts w:ascii="Arial" w:eastAsia="Arial" w:hAnsi="Arial" w:cs="Arial"/>
          <w:color w:val="000000"/>
          <w:sz w:val="20"/>
          <w:szCs w:val="20"/>
        </w:rPr>
        <w:t xml:space="preserve">zur Verfügung. </w:t>
      </w:r>
      <w:r>
        <w:rPr>
          <w:rFonts w:ascii="Arial" w:eastAsia="Arial" w:hAnsi="Arial" w:cs="Arial"/>
          <w:b/>
          <w:bCs/>
          <w:color w:val="000000"/>
          <w:sz w:val="20"/>
          <w:szCs w:val="20"/>
        </w:rPr>
        <w:t>Angebote, die diesen Wert übersteigen, wird der Auftraggeber von dem Vergabeverfahren ausschließen.</w:t>
      </w:r>
    </w:p>
    <w:p w14:paraId="35C37703" w14:textId="77777777" w:rsidR="00182F3A" w:rsidRDefault="009308AB">
      <w:pPr>
        <w:pBdr>
          <w:top w:val="nil"/>
          <w:left w:val="nil"/>
          <w:bottom w:val="nil"/>
          <w:right w:val="nil"/>
          <w:between w:val="nil"/>
        </w:pBdr>
        <w:spacing w:before="120" w:after="120"/>
        <w:ind w:left="567" w:right="108"/>
        <w:jc w:val="both"/>
        <w:rPr>
          <w:rFonts w:ascii="Arial" w:eastAsia="Arial" w:hAnsi="Arial" w:cs="Arial"/>
          <w:color w:val="000000"/>
          <w:sz w:val="20"/>
          <w:szCs w:val="20"/>
        </w:rPr>
      </w:pPr>
      <w:r>
        <w:rPr>
          <w:rFonts w:ascii="Arial" w:eastAsia="Arial" w:hAnsi="Arial" w:cs="Arial"/>
          <w:color w:val="000000"/>
          <w:sz w:val="20"/>
          <w:szCs w:val="20"/>
        </w:rPr>
        <w:t xml:space="preserve">Der Bieter kann für den Preis maximal </w:t>
      </w:r>
      <w:r>
        <w:rPr>
          <w:rFonts w:ascii="Arial" w:eastAsia="Arial" w:hAnsi="Arial" w:cs="Arial"/>
          <w:b/>
          <w:bCs/>
          <w:color w:val="000000"/>
          <w:sz w:val="20"/>
          <w:szCs w:val="20"/>
        </w:rPr>
        <w:t>400 Wertungspunkte</w:t>
      </w:r>
      <w:r>
        <w:rPr>
          <w:rFonts w:ascii="Arial" w:eastAsia="Arial" w:hAnsi="Arial" w:cs="Arial"/>
          <w:color w:val="000000"/>
          <w:sz w:val="20"/>
          <w:szCs w:val="20"/>
        </w:rPr>
        <w:t xml:space="preserve"> erreichen.</w:t>
      </w:r>
    </w:p>
    <w:p w14:paraId="35C37704" w14:textId="77777777" w:rsidR="00182F3A" w:rsidRDefault="009308AB">
      <w:pPr>
        <w:pBdr>
          <w:top w:val="nil"/>
          <w:left w:val="nil"/>
          <w:bottom w:val="nil"/>
          <w:right w:val="nil"/>
          <w:between w:val="nil"/>
        </w:pBdr>
        <w:spacing w:before="120" w:after="120"/>
        <w:ind w:left="567" w:right="108"/>
        <w:jc w:val="both"/>
        <w:rPr>
          <w:rFonts w:ascii="Arial" w:eastAsia="Arial" w:hAnsi="Arial" w:cs="Arial"/>
          <w:color w:val="000000"/>
          <w:sz w:val="20"/>
          <w:szCs w:val="20"/>
        </w:rPr>
      </w:pPr>
      <w:r>
        <w:rPr>
          <w:rFonts w:ascii="Arial" w:eastAsia="Arial" w:hAnsi="Arial" w:cs="Arial"/>
          <w:color w:val="000000"/>
          <w:sz w:val="20"/>
          <w:szCs w:val="20"/>
        </w:rPr>
        <w:t>Das Angebot mit dem niedrigstes Gesamtpreis (</w:t>
      </w:r>
      <m:oMath>
        <m:r>
          <w:rPr>
            <w:rFonts w:ascii="Cambria Math" w:eastAsia="Cambria Math" w:hAnsi="Cambria Math" w:cs="Cambria Math"/>
            <w:color w:val="000000"/>
            <w:sz w:val="20"/>
            <w:szCs w:val="20"/>
          </w:rPr>
          <m:t>Pmin</m:t>
        </m:r>
      </m:oMath>
      <w:r>
        <w:rPr>
          <w:rFonts w:ascii="Arial" w:eastAsia="Arial" w:hAnsi="Arial" w:cs="Arial"/>
          <w:color w:val="000000"/>
          <w:sz w:val="20"/>
          <w:szCs w:val="20"/>
        </w:rPr>
        <w:t>) erhält die volle Punktzahl von 400 Wertungspunkten. Ein fiktives Angebot mit einem Angebotspreis vom Zweifachen des niedrigsten Angebotspreises erhält 0 Wertungspunkte.</w:t>
      </w:r>
      <w:r>
        <w:t xml:space="preserve"> </w:t>
      </w:r>
      <w:r>
        <w:rPr>
          <w:rFonts w:ascii="Arial" w:eastAsia="Arial" w:hAnsi="Arial" w:cs="Arial"/>
          <w:color w:val="000000"/>
          <w:sz w:val="20"/>
          <w:szCs w:val="20"/>
        </w:rPr>
        <w:t xml:space="preserve">Angebote, die teurer als das fiktive Angebot sind, erhalten ebenfalls 0 Wertungspunkte </w:t>
      </w:r>
    </w:p>
    <w:p w14:paraId="35C37705" w14:textId="77777777" w:rsidR="00182F3A" w:rsidRDefault="009308AB">
      <w:pPr>
        <w:pBdr>
          <w:top w:val="nil"/>
          <w:left w:val="nil"/>
          <w:bottom w:val="nil"/>
          <w:right w:val="nil"/>
          <w:between w:val="nil"/>
        </w:pBdr>
        <w:spacing w:before="120" w:after="120"/>
        <w:ind w:left="567" w:right="108"/>
        <w:jc w:val="both"/>
        <w:rPr>
          <w:rFonts w:ascii="Arial" w:eastAsia="Arial" w:hAnsi="Arial" w:cs="Arial"/>
          <w:color w:val="000000"/>
          <w:sz w:val="20"/>
          <w:szCs w:val="20"/>
        </w:rPr>
      </w:pPr>
      <w:r>
        <w:rPr>
          <w:rFonts w:ascii="Arial" w:eastAsia="Arial" w:hAnsi="Arial" w:cs="Arial"/>
          <w:color w:val="000000"/>
          <w:sz w:val="20"/>
          <w:szCs w:val="20"/>
        </w:rPr>
        <w:t xml:space="preserve">Angebotspreise, die zwischen dem niedrigsten Gesamtpreis und dem fiktiven doppelten Angebotspreis liegen, werden nach der folgenden Formel linear interpoliert: </w:t>
      </w:r>
    </w:p>
    <w:p w14:paraId="35C37706" w14:textId="77777777" w:rsidR="00182F3A" w:rsidRDefault="009308AB">
      <w:pPr>
        <w:pBdr>
          <w:top w:val="nil"/>
          <w:left w:val="nil"/>
          <w:bottom w:val="nil"/>
          <w:right w:val="nil"/>
          <w:between w:val="nil"/>
        </w:pBdr>
        <w:spacing w:before="120" w:after="120"/>
        <w:ind w:left="3600" w:right="108"/>
        <w:jc w:val="both"/>
        <w:rPr>
          <w:rFonts w:ascii="Cambria Math" w:eastAsia="Cambria Math" w:hAnsi="Cambria Math" w:cs="Cambria Math"/>
          <w:color w:val="000000"/>
          <w:sz w:val="20"/>
          <w:szCs w:val="20"/>
        </w:rPr>
      </w:pPr>
      <m:oMath>
        <m:r>
          <w:rPr>
            <w:rFonts w:ascii="Cambria Math" w:eastAsia="Cambria Math" w:hAnsi="Cambria Math" w:cs="Cambria Math"/>
            <w:color w:val="000000"/>
            <w:sz w:val="20"/>
            <w:szCs w:val="20"/>
          </w:rPr>
          <m:t xml:space="preserve">P=(2- </m:t>
        </m:r>
        <m:f>
          <m:fPr>
            <m:ctrlPr>
              <w:rPr>
                <w:rFonts w:ascii="Cambria Math" w:eastAsia="Cambria Math" w:hAnsi="Cambria Math" w:cs="Cambria Math"/>
                <w:color w:val="000000"/>
                <w:sz w:val="20"/>
                <w:szCs w:val="20"/>
              </w:rPr>
            </m:ctrlPr>
          </m:fPr>
          <m:num>
            <m:r>
              <w:rPr>
                <w:rFonts w:ascii="Cambria Math" w:eastAsia="Cambria Math" w:hAnsi="Cambria Math" w:cs="Cambria Math"/>
                <w:color w:val="000000"/>
                <w:sz w:val="20"/>
                <w:szCs w:val="20"/>
              </w:rPr>
              <m:t>PA</m:t>
            </m:r>
          </m:num>
          <m:den>
            <m:r>
              <w:rPr>
                <w:rFonts w:ascii="Cambria Math" w:eastAsia="Cambria Math" w:hAnsi="Cambria Math" w:cs="Cambria Math"/>
                <w:color w:val="000000"/>
                <w:sz w:val="20"/>
                <w:szCs w:val="20"/>
              </w:rPr>
              <m:t>Pmin</m:t>
            </m:r>
          </m:den>
        </m:f>
      </m:oMath>
      <w:r>
        <w:rPr>
          <w:rFonts w:ascii="Arial" w:eastAsia="Arial" w:hAnsi="Arial" w:cs="Arial"/>
          <w:color w:val="000000"/>
          <w:sz w:val="20"/>
          <w:szCs w:val="20"/>
        </w:rPr>
        <w:t>)*</w:t>
      </w:r>
      <w:r>
        <w:rPr>
          <w:rFonts w:ascii="Cambria Math" w:eastAsia="Cambria Math" w:hAnsi="Cambria Math" w:cs="Cambria Math"/>
          <w:i/>
          <w:iCs/>
          <w:color w:val="000000"/>
          <w:sz w:val="20"/>
          <w:szCs w:val="20"/>
        </w:rPr>
        <w:t>400</w:t>
      </w:r>
    </w:p>
    <w:p w14:paraId="35C37707" w14:textId="77777777" w:rsidR="00182F3A" w:rsidRDefault="00182F3A">
      <w:pPr>
        <w:pBdr>
          <w:top w:val="nil"/>
          <w:left w:val="nil"/>
          <w:bottom w:val="nil"/>
          <w:right w:val="nil"/>
          <w:between w:val="nil"/>
        </w:pBdr>
        <w:spacing w:before="120" w:after="120"/>
        <w:ind w:right="108"/>
        <w:rPr>
          <w:rFonts w:ascii="Arial" w:eastAsia="Arial" w:hAnsi="Arial" w:cs="Arial"/>
          <w:i/>
          <w:iCs/>
          <w:color w:val="000000"/>
          <w:sz w:val="20"/>
          <w:szCs w:val="20"/>
        </w:rPr>
      </w:pPr>
    </w:p>
    <w:p w14:paraId="35C37708" w14:textId="77777777" w:rsidR="00182F3A" w:rsidRDefault="009308AB">
      <w:pPr>
        <w:pBdr>
          <w:top w:val="nil"/>
          <w:left w:val="nil"/>
          <w:bottom w:val="nil"/>
          <w:right w:val="nil"/>
          <w:between w:val="nil"/>
        </w:pBdr>
        <w:spacing w:before="120" w:after="120"/>
        <w:ind w:left="3544" w:right="108"/>
        <w:rPr>
          <w:rFonts w:ascii="Arial" w:eastAsia="Arial" w:hAnsi="Arial" w:cs="Arial"/>
          <w:color w:val="000000"/>
          <w:sz w:val="16"/>
          <w:szCs w:val="16"/>
        </w:rPr>
      </w:pPr>
      <w:r>
        <w:rPr>
          <w:rFonts w:ascii="Arial" w:eastAsia="Arial" w:hAnsi="Arial" w:cs="Arial"/>
          <w:i/>
          <w:iCs/>
          <w:color w:val="000000"/>
          <w:sz w:val="16"/>
          <w:szCs w:val="16"/>
        </w:rPr>
        <w:t>P</w:t>
      </w:r>
      <w:r>
        <w:rPr>
          <w:rFonts w:ascii="Arial" w:eastAsia="Arial" w:hAnsi="Arial" w:cs="Arial"/>
          <w:i/>
          <w:iCs/>
          <w:color w:val="000000"/>
          <w:sz w:val="16"/>
          <w:szCs w:val="16"/>
          <w:vertAlign w:val="subscript"/>
        </w:rPr>
        <w:t>A</w:t>
      </w:r>
      <w:r>
        <w:rPr>
          <w:rFonts w:ascii="Arial" w:eastAsia="Arial" w:hAnsi="Arial" w:cs="Arial"/>
          <w:color w:val="000000"/>
          <w:sz w:val="16"/>
          <w:szCs w:val="16"/>
        </w:rPr>
        <w:t xml:space="preserve"> = Preis des jeweiligen Angebotes</w:t>
      </w:r>
    </w:p>
    <w:p w14:paraId="35C37709" w14:textId="77777777" w:rsidR="00182F3A" w:rsidRDefault="009308AB">
      <w:pPr>
        <w:pBdr>
          <w:top w:val="nil"/>
          <w:left w:val="nil"/>
          <w:bottom w:val="nil"/>
          <w:right w:val="nil"/>
          <w:between w:val="nil"/>
        </w:pBdr>
        <w:spacing w:before="120" w:after="120"/>
        <w:ind w:left="3544" w:right="108"/>
        <w:rPr>
          <w:rFonts w:ascii="Arial" w:eastAsia="Arial" w:hAnsi="Arial" w:cs="Arial"/>
          <w:color w:val="000000"/>
          <w:sz w:val="16"/>
          <w:szCs w:val="16"/>
        </w:rPr>
      </w:pPr>
      <w:r>
        <w:rPr>
          <w:rFonts w:ascii="Arial" w:eastAsia="Arial" w:hAnsi="Arial" w:cs="Arial"/>
          <w:i/>
          <w:iCs/>
          <w:color w:val="000000"/>
          <w:sz w:val="16"/>
          <w:szCs w:val="16"/>
        </w:rPr>
        <w:t>P</w:t>
      </w:r>
      <w:r>
        <w:rPr>
          <w:rFonts w:ascii="Arial" w:eastAsia="Arial" w:hAnsi="Arial" w:cs="Arial"/>
          <w:i/>
          <w:iCs/>
          <w:color w:val="000000"/>
          <w:sz w:val="16"/>
          <w:szCs w:val="16"/>
          <w:vertAlign w:val="subscript"/>
        </w:rPr>
        <w:t>min</w:t>
      </w:r>
      <w:r>
        <w:rPr>
          <w:rFonts w:ascii="Arial" w:eastAsia="Arial" w:hAnsi="Arial" w:cs="Arial"/>
          <w:color w:val="000000"/>
          <w:sz w:val="16"/>
          <w:szCs w:val="16"/>
          <w:vertAlign w:val="subscript"/>
        </w:rPr>
        <w:t xml:space="preserve"> </w:t>
      </w:r>
      <w:r>
        <w:rPr>
          <w:rFonts w:ascii="Arial" w:eastAsia="Arial" w:hAnsi="Arial" w:cs="Arial"/>
          <w:color w:val="000000"/>
          <w:sz w:val="16"/>
          <w:szCs w:val="16"/>
        </w:rPr>
        <w:t>= Preis des niedrigsten Angebotes</w:t>
      </w:r>
    </w:p>
    <w:p w14:paraId="35C3770A" w14:textId="77777777" w:rsidR="00182F3A" w:rsidRDefault="009308AB">
      <w:pPr>
        <w:pBdr>
          <w:top w:val="nil"/>
          <w:left w:val="nil"/>
          <w:bottom w:val="nil"/>
          <w:right w:val="nil"/>
          <w:between w:val="nil"/>
        </w:pBdr>
        <w:spacing w:before="120" w:after="120"/>
        <w:ind w:left="3544" w:right="108"/>
        <w:rPr>
          <w:rFonts w:ascii="Arial" w:eastAsia="Arial" w:hAnsi="Arial" w:cs="Arial"/>
          <w:color w:val="000000"/>
          <w:sz w:val="16"/>
          <w:szCs w:val="16"/>
        </w:rPr>
      </w:pPr>
      <w:r>
        <w:rPr>
          <w:rFonts w:ascii="Arial" w:eastAsia="Arial" w:hAnsi="Arial" w:cs="Arial"/>
          <w:i/>
          <w:iCs/>
          <w:color w:val="000000"/>
          <w:sz w:val="16"/>
          <w:szCs w:val="16"/>
        </w:rPr>
        <w:t xml:space="preserve">P </w:t>
      </w:r>
      <w:r>
        <w:rPr>
          <w:rFonts w:ascii="Arial" w:eastAsia="Arial" w:hAnsi="Arial" w:cs="Arial"/>
          <w:color w:val="000000"/>
          <w:sz w:val="16"/>
          <w:szCs w:val="16"/>
        </w:rPr>
        <w:t>= Kennzahl P (Gesamtpreis umgerechnet in Wertungspunkte)</w:t>
      </w:r>
    </w:p>
    <w:p w14:paraId="35C3770B" w14:textId="77777777" w:rsidR="00182F3A" w:rsidRDefault="009308AB">
      <w:pPr>
        <w:pBdr>
          <w:top w:val="nil"/>
          <w:left w:val="nil"/>
          <w:bottom w:val="nil"/>
          <w:right w:val="nil"/>
          <w:between w:val="nil"/>
        </w:pBdr>
        <w:spacing w:before="120" w:after="120"/>
        <w:ind w:left="567" w:right="108"/>
        <w:jc w:val="both"/>
        <w:rPr>
          <w:rFonts w:ascii="Arial" w:eastAsia="Arial" w:hAnsi="Arial" w:cs="Arial"/>
          <w:color w:val="000000"/>
          <w:sz w:val="20"/>
          <w:szCs w:val="20"/>
        </w:rPr>
      </w:pPr>
      <w:r>
        <w:rPr>
          <w:rFonts w:ascii="Arial" w:eastAsia="Arial" w:hAnsi="Arial" w:cs="Arial"/>
          <w:color w:val="000000"/>
          <w:sz w:val="20"/>
          <w:szCs w:val="20"/>
        </w:rPr>
        <w:t xml:space="preserve">Bei der Umrechnung wird auf zwei Dezimalstellen hinter dem Komma genau gerechnet und kaufmännisch gerundet. </w:t>
      </w:r>
    </w:p>
    <w:p w14:paraId="35C3770C" w14:textId="77777777" w:rsidR="00182F3A" w:rsidRDefault="009308AB">
      <w:pPr>
        <w:pBdr>
          <w:top w:val="nil"/>
          <w:left w:val="nil"/>
          <w:bottom w:val="nil"/>
          <w:right w:val="nil"/>
          <w:between w:val="nil"/>
        </w:pBdr>
        <w:spacing w:before="120" w:after="120"/>
        <w:ind w:left="567" w:right="108"/>
        <w:jc w:val="both"/>
        <w:rPr>
          <w:rFonts w:ascii="Arial" w:eastAsia="Arial" w:hAnsi="Arial" w:cs="Arial"/>
          <w:color w:val="000000"/>
          <w:sz w:val="20"/>
          <w:szCs w:val="20"/>
        </w:rPr>
      </w:pPr>
      <w:r>
        <w:rPr>
          <w:rFonts w:ascii="Arial" w:eastAsia="Arial" w:hAnsi="Arial" w:cs="Arial"/>
          <w:color w:val="000000"/>
          <w:sz w:val="20"/>
          <w:szCs w:val="20"/>
        </w:rPr>
        <w:t>Die Kennzahl P geht danach mit einer Gewichtung von 40 % in die Berechnung des Wertes Z ein.</w:t>
      </w:r>
    </w:p>
    <w:p w14:paraId="35C3770D" w14:textId="77777777" w:rsidR="00182F3A" w:rsidRDefault="009308AB">
      <w:pPr>
        <w:pStyle w:val="Heading2"/>
        <w:keepNext/>
        <w:numPr>
          <w:ilvl w:val="0"/>
          <w:numId w:val="5"/>
        </w:numPr>
      </w:pPr>
      <w:r>
        <w:t xml:space="preserve">Aufwandsentschädigung </w:t>
      </w:r>
    </w:p>
    <w:p w14:paraId="35C3770E" w14:textId="77777777" w:rsidR="00182F3A" w:rsidRDefault="009308AB">
      <w:pPr>
        <w:pBdr>
          <w:top w:val="nil"/>
          <w:left w:val="nil"/>
          <w:bottom w:val="nil"/>
          <w:right w:val="nil"/>
          <w:between w:val="nil"/>
        </w:pBdr>
        <w:spacing w:before="120" w:after="120"/>
        <w:ind w:left="567" w:right="108"/>
        <w:jc w:val="both"/>
        <w:rPr>
          <w:rFonts w:ascii="Arial" w:eastAsia="Arial" w:hAnsi="Arial" w:cs="Arial"/>
          <w:color w:val="000000"/>
          <w:sz w:val="20"/>
          <w:szCs w:val="20"/>
        </w:rPr>
      </w:pPr>
      <w:r>
        <w:rPr>
          <w:rFonts w:ascii="Arial" w:eastAsia="Arial" w:hAnsi="Arial" w:cs="Arial"/>
          <w:color w:val="000000"/>
          <w:sz w:val="20"/>
          <w:szCs w:val="20"/>
        </w:rPr>
        <w:t xml:space="preserve">Die den Bietern entstandenen Kosten für die Erstellung der Angebote werden vom Auftraggeber nicht erstattet. </w:t>
      </w:r>
    </w:p>
    <w:p w14:paraId="35C3770F" w14:textId="77777777" w:rsidR="00182F3A" w:rsidRDefault="009308AB">
      <w:pPr>
        <w:pStyle w:val="Heading2"/>
        <w:keepNext/>
        <w:numPr>
          <w:ilvl w:val="0"/>
          <w:numId w:val="5"/>
        </w:numPr>
      </w:pPr>
      <w:r>
        <w:t>Kennzeichnung von Geheimnissen</w:t>
      </w:r>
    </w:p>
    <w:p w14:paraId="35C37710" w14:textId="77777777" w:rsidR="00182F3A" w:rsidRDefault="009308AB">
      <w:pPr>
        <w:pBdr>
          <w:top w:val="nil"/>
          <w:left w:val="nil"/>
          <w:bottom w:val="nil"/>
          <w:right w:val="nil"/>
          <w:between w:val="nil"/>
        </w:pBdr>
        <w:spacing w:before="120" w:after="120"/>
        <w:ind w:left="567" w:right="108"/>
        <w:jc w:val="both"/>
        <w:rPr>
          <w:rFonts w:ascii="Arial" w:eastAsia="Arial" w:hAnsi="Arial" w:cs="Arial"/>
          <w:color w:val="000000"/>
          <w:sz w:val="20"/>
          <w:szCs w:val="20"/>
        </w:rPr>
      </w:pPr>
      <w:r>
        <w:rPr>
          <w:rFonts w:ascii="Arial" w:eastAsia="Arial" w:hAnsi="Arial" w:cs="Arial"/>
          <w:color w:val="000000"/>
          <w:sz w:val="20"/>
          <w:szCs w:val="20"/>
        </w:rPr>
        <w:t>Der Bieter wird aufgefordert, die Teile seines Angebots, die ein Fabrikations-, Betriebs- oder Geschäftsgeheimnis beinhalten, auf jeder betreffenden Seite deutlich zu kennzeichnen. Geschieht dies nicht, kann die Vergabekammer im Falle eines Nachprüfungsverfahrens von seiner Zustimmung auf Einsicht durch andere Verfahrensbeteiligte ausgehen (vgl. § 165 Abs. 3 Satz 2 GWB).</w:t>
      </w:r>
    </w:p>
    <w:p w14:paraId="35C37711" w14:textId="77777777" w:rsidR="00182F3A" w:rsidRDefault="009308AB">
      <w:pPr>
        <w:pStyle w:val="Heading2"/>
        <w:keepNext/>
        <w:numPr>
          <w:ilvl w:val="0"/>
          <w:numId w:val="5"/>
        </w:numPr>
      </w:pPr>
      <w:bookmarkStart w:id="9" w:name="_heading=h.pkdgi2jed15p" w:colFirst="0" w:colLast="0"/>
      <w:bookmarkEnd w:id="9"/>
      <w:r>
        <w:t>Vergabeentscheidung</w:t>
      </w:r>
    </w:p>
    <w:p w14:paraId="35C37712" w14:textId="77777777" w:rsidR="00182F3A" w:rsidRDefault="009308AB">
      <w:pPr>
        <w:pBdr>
          <w:top w:val="nil"/>
          <w:left w:val="nil"/>
          <w:bottom w:val="nil"/>
          <w:right w:val="nil"/>
          <w:between w:val="nil"/>
        </w:pBdr>
        <w:spacing w:before="120" w:after="120"/>
        <w:ind w:left="567" w:right="108"/>
        <w:jc w:val="both"/>
        <w:rPr>
          <w:rFonts w:ascii="Arial" w:eastAsia="Arial" w:hAnsi="Arial" w:cs="Arial"/>
          <w:color w:val="000000"/>
          <w:sz w:val="20"/>
          <w:szCs w:val="20"/>
        </w:rPr>
      </w:pPr>
      <w:r>
        <w:rPr>
          <w:rFonts w:ascii="Arial" w:eastAsia="Arial" w:hAnsi="Arial" w:cs="Arial"/>
          <w:color w:val="000000"/>
          <w:sz w:val="20"/>
          <w:szCs w:val="20"/>
        </w:rPr>
        <w:t xml:space="preserve">Der Zuschlag wird auf das wirtschaftlichste Angebot im Sinne von Ziffer 9 dieser Verfahrensbedingungen erteilt. </w:t>
      </w:r>
    </w:p>
    <w:p w14:paraId="35C37713" w14:textId="77777777" w:rsidR="00182F3A" w:rsidRDefault="009308AB">
      <w:pPr>
        <w:keepNext/>
        <w:pBdr>
          <w:top w:val="nil"/>
          <w:left w:val="nil"/>
          <w:bottom w:val="nil"/>
          <w:right w:val="nil"/>
          <w:between w:val="nil"/>
        </w:pBdr>
        <w:spacing w:before="120" w:after="120"/>
        <w:ind w:left="567"/>
        <w:jc w:val="both"/>
        <w:rPr>
          <w:rFonts w:ascii="Arial" w:eastAsia="Arial" w:hAnsi="Arial" w:cs="Arial"/>
          <w:color w:val="000000"/>
          <w:sz w:val="20"/>
          <w:szCs w:val="20"/>
        </w:rPr>
      </w:pPr>
      <w:r>
        <w:rPr>
          <w:rFonts w:ascii="Arial" w:eastAsia="Arial" w:hAnsi="Arial" w:cs="Arial"/>
          <w:color w:val="000000"/>
          <w:sz w:val="20"/>
          <w:szCs w:val="20"/>
          <w:u w:val="single"/>
        </w:rPr>
        <w:t>Weiterhin gilt:</w:t>
      </w:r>
    </w:p>
    <w:p w14:paraId="35C37714" w14:textId="77777777" w:rsidR="00182F3A" w:rsidRDefault="009308AB">
      <w:pPr>
        <w:numPr>
          <w:ilvl w:val="0"/>
          <w:numId w:val="6"/>
        </w:numPr>
        <w:pBdr>
          <w:top w:val="nil"/>
          <w:left w:val="nil"/>
          <w:bottom w:val="nil"/>
          <w:right w:val="nil"/>
          <w:between w:val="nil"/>
        </w:pBdr>
        <w:spacing w:before="120" w:after="120"/>
        <w:ind w:left="1134" w:right="108" w:hanging="425"/>
        <w:jc w:val="both"/>
        <w:rPr>
          <w:rFonts w:ascii="Arial" w:eastAsia="Arial" w:hAnsi="Arial" w:cs="Arial"/>
          <w:color w:val="000000"/>
        </w:rPr>
      </w:pPr>
      <w:bookmarkStart w:id="10" w:name="_heading=h.2s8eyo1" w:colFirst="0" w:colLast="0"/>
      <w:bookmarkEnd w:id="10"/>
      <w:r>
        <w:rPr>
          <w:rFonts w:ascii="Arial" w:eastAsia="Arial" w:hAnsi="Arial" w:cs="Arial"/>
          <w:color w:val="000000"/>
          <w:sz w:val="20"/>
          <w:szCs w:val="20"/>
        </w:rPr>
        <w:t>Der Auftraggeber wird i. S. v. § 134 Abs. 1 GWB die nicht berücksichtigten Bieter über den Namen des Unternehmens, dessen Angebot den Zuschlag erhalten soll, über die Gründe der Nichtberücksichtigung und über den frühesten Zeitpunkt des Vertragsschlusses fristgerecht informieren.</w:t>
      </w:r>
    </w:p>
    <w:p w14:paraId="35C37715" w14:textId="77777777" w:rsidR="00182F3A" w:rsidRDefault="009308AB">
      <w:pPr>
        <w:numPr>
          <w:ilvl w:val="0"/>
          <w:numId w:val="6"/>
        </w:numPr>
        <w:pBdr>
          <w:top w:val="nil"/>
          <w:left w:val="nil"/>
          <w:bottom w:val="nil"/>
          <w:right w:val="nil"/>
          <w:between w:val="nil"/>
        </w:pBdr>
        <w:spacing w:before="120" w:after="120"/>
        <w:ind w:left="1134" w:right="108" w:hanging="425"/>
        <w:jc w:val="both"/>
        <w:rPr>
          <w:rFonts w:ascii="Arial" w:eastAsia="Arial" w:hAnsi="Arial" w:cs="Arial"/>
          <w:color w:val="000000"/>
        </w:rPr>
      </w:pPr>
      <w:r>
        <w:rPr>
          <w:rFonts w:ascii="Arial" w:eastAsia="Arial" w:hAnsi="Arial" w:cs="Arial"/>
          <w:color w:val="000000"/>
          <w:sz w:val="20"/>
          <w:szCs w:val="20"/>
        </w:rPr>
        <w:t>Der Auftraggeber wird den bestplatzierten Bieter über den beabsichtigten Zuschlag informieren und ihn auffordern, die im Anlagenverzeichnis entsprechend gekennzeichneten Dokumente einzureichen. Sobald diese Dokumente vollständig eingereicht sind, wird der Zuschlag erteilt.</w:t>
      </w:r>
    </w:p>
    <w:p w14:paraId="35C37716" w14:textId="77777777" w:rsidR="00182F3A" w:rsidRDefault="009308AB">
      <w:pPr>
        <w:pStyle w:val="Heading2"/>
        <w:numPr>
          <w:ilvl w:val="0"/>
          <w:numId w:val="5"/>
        </w:numPr>
      </w:pPr>
      <w:r>
        <w:t>Rügepflicht</w:t>
      </w:r>
    </w:p>
    <w:p w14:paraId="35C37717" w14:textId="77777777" w:rsidR="00182F3A" w:rsidRDefault="009308AB">
      <w:pPr>
        <w:spacing w:before="120" w:after="120"/>
        <w:ind w:left="567"/>
        <w:jc w:val="both"/>
        <w:rPr>
          <w:rFonts w:ascii="Arial" w:eastAsia="Arial" w:hAnsi="Arial" w:cs="Arial"/>
          <w:sz w:val="20"/>
          <w:szCs w:val="20"/>
        </w:rPr>
      </w:pPr>
      <w:r>
        <w:rPr>
          <w:rFonts w:ascii="Arial" w:eastAsia="Arial" w:hAnsi="Arial" w:cs="Arial"/>
          <w:sz w:val="20"/>
          <w:szCs w:val="20"/>
        </w:rPr>
        <w:t xml:space="preserve">Auf die Rügepflicht des § 160 Abs. 3 GWB wird hingewiesen. Hiernach ist ein Nachprüfungsantrag bei der zuständigen Vergabekammer zulässig, soweit </w:t>
      </w:r>
    </w:p>
    <w:p w14:paraId="35C37718" w14:textId="77777777" w:rsidR="00182F3A" w:rsidRDefault="009308AB">
      <w:pPr>
        <w:numPr>
          <w:ilvl w:val="0"/>
          <w:numId w:val="8"/>
        </w:numPr>
        <w:pBdr>
          <w:top w:val="nil"/>
          <w:left w:val="nil"/>
          <w:bottom w:val="nil"/>
          <w:right w:val="nil"/>
          <w:between w:val="nil"/>
        </w:pBdr>
        <w:spacing w:after="0"/>
        <w:ind w:left="1281" w:right="108" w:hanging="357"/>
        <w:jc w:val="both"/>
        <w:rPr>
          <w:color w:val="000000"/>
          <w:sz w:val="20"/>
          <w:szCs w:val="20"/>
        </w:rPr>
      </w:pPr>
      <w:r>
        <w:rPr>
          <w:rFonts w:ascii="Arial" w:eastAsia="Arial" w:hAnsi="Arial" w:cs="Arial"/>
          <w:color w:val="000000"/>
          <w:sz w:val="20"/>
          <w:szCs w:val="20"/>
        </w:rPr>
        <w:t>der Antragsteller den geltend gemachten Verstoß gegen Vergabevorschriften vor Einreichen des Nachprüfungsantrags erkannt und gegenüber dem Auftraggeber innerhalb einer Frist von zehn Kalendertagen gerügt hat; der Ablauf der Frist nach § 134 Absatz 2 GWB bleibt unberührt,</w:t>
      </w:r>
    </w:p>
    <w:p w14:paraId="35C37719" w14:textId="77777777" w:rsidR="00182F3A" w:rsidRDefault="009308AB">
      <w:pPr>
        <w:numPr>
          <w:ilvl w:val="0"/>
          <w:numId w:val="8"/>
        </w:numPr>
        <w:pBdr>
          <w:top w:val="nil"/>
          <w:left w:val="nil"/>
          <w:bottom w:val="nil"/>
          <w:right w:val="nil"/>
          <w:between w:val="nil"/>
        </w:pBdr>
        <w:spacing w:after="0"/>
        <w:ind w:left="1281" w:right="108" w:hanging="357"/>
        <w:jc w:val="both"/>
        <w:rPr>
          <w:color w:val="000000"/>
          <w:sz w:val="20"/>
          <w:szCs w:val="20"/>
        </w:rPr>
      </w:pPr>
      <w:r>
        <w:rPr>
          <w:rFonts w:ascii="Arial" w:eastAsia="Arial" w:hAnsi="Arial" w:cs="Arial"/>
          <w:color w:val="000000"/>
          <w:sz w:val="20"/>
          <w:szCs w:val="20"/>
        </w:rPr>
        <w:t>Verstöße gegen Vergabevorschriften, die aufgrund der Bekanntmachung erkennbar sind, spätestens bis zum Ablauf der in der Bekanntmachung benannten Frist zur Bewerbung oder zur Angebotsabgabe gegenüber dem Auftraggeber gerügt werden,</w:t>
      </w:r>
    </w:p>
    <w:p w14:paraId="35C3771A" w14:textId="77777777" w:rsidR="00182F3A" w:rsidRDefault="009308AB">
      <w:pPr>
        <w:numPr>
          <w:ilvl w:val="0"/>
          <w:numId w:val="8"/>
        </w:numPr>
        <w:pBdr>
          <w:top w:val="nil"/>
          <w:left w:val="nil"/>
          <w:bottom w:val="nil"/>
          <w:right w:val="nil"/>
          <w:between w:val="nil"/>
        </w:pBdr>
        <w:spacing w:after="0"/>
        <w:ind w:left="1281" w:right="108" w:hanging="357"/>
        <w:jc w:val="both"/>
        <w:rPr>
          <w:color w:val="000000"/>
          <w:sz w:val="20"/>
          <w:szCs w:val="20"/>
        </w:rPr>
      </w:pPr>
      <w:r>
        <w:rPr>
          <w:rFonts w:ascii="Arial" w:eastAsia="Arial" w:hAnsi="Arial" w:cs="Arial"/>
          <w:color w:val="000000"/>
          <w:sz w:val="20"/>
          <w:szCs w:val="20"/>
        </w:rPr>
        <w:t>Verstöße gegen Vergabevorschriften, die erst in den Vergabeunterlagen erkennbar sind, spätestens bis zum Ablauf der Frist zur Bewerbung oder zur Angebotsabgabe gegenüber dem Auftraggeber gerügt werden,</w:t>
      </w:r>
    </w:p>
    <w:p w14:paraId="35C3771B" w14:textId="77777777" w:rsidR="00182F3A" w:rsidRDefault="009308AB">
      <w:pPr>
        <w:numPr>
          <w:ilvl w:val="0"/>
          <w:numId w:val="8"/>
        </w:numPr>
        <w:pBdr>
          <w:top w:val="nil"/>
          <w:left w:val="nil"/>
          <w:bottom w:val="nil"/>
          <w:right w:val="nil"/>
          <w:between w:val="nil"/>
        </w:pBdr>
        <w:spacing w:after="0"/>
        <w:ind w:left="1281" w:right="108" w:hanging="357"/>
        <w:jc w:val="both"/>
        <w:rPr>
          <w:color w:val="000000"/>
          <w:sz w:val="20"/>
          <w:szCs w:val="20"/>
        </w:rPr>
      </w:pPr>
      <w:r>
        <w:rPr>
          <w:rFonts w:ascii="Arial" w:eastAsia="Arial" w:hAnsi="Arial" w:cs="Arial"/>
          <w:color w:val="000000"/>
          <w:sz w:val="20"/>
          <w:szCs w:val="20"/>
        </w:rPr>
        <w:t>nicht mehr als 15 Kalendertage nach Eingang der Mitteilung des Auftraggebers, einer Rüge nicht abhelfen zu wollen, vergangen sind.</w:t>
      </w:r>
    </w:p>
    <w:p w14:paraId="35C3771C" w14:textId="77777777" w:rsidR="00182F3A" w:rsidRDefault="009308AB">
      <w:pPr>
        <w:pStyle w:val="Heading2"/>
        <w:numPr>
          <w:ilvl w:val="0"/>
          <w:numId w:val="5"/>
        </w:numPr>
      </w:pPr>
      <w:r>
        <w:t>Vergabekammer</w:t>
      </w:r>
    </w:p>
    <w:p w14:paraId="35C3771D" w14:textId="77777777" w:rsidR="00182F3A" w:rsidRDefault="009308AB">
      <w:pPr>
        <w:pBdr>
          <w:top w:val="nil"/>
          <w:left w:val="nil"/>
          <w:bottom w:val="nil"/>
          <w:right w:val="nil"/>
          <w:between w:val="nil"/>
        </w:pBdr>
        <w:spacing w:before="240" w:after="120"/>
        <w:ind w:left="567" w:right="108"/>
        <w:rPr>
          <w:rFonts w:ascii="Arial" w:eastAsia="Arial" w:hAnsi="Arial" w:cs="Arial"/>
          <w:color w:val="000000"/>
          <w:sz w:val="20"/>
          <w:szCs w:val="20"/>
          <w:u w:val="single"/>
        </w:rPr>
      </w:pPr>
      <w:r>
        <w:rPr>
          <w:rFonts w:ascii="Arial" w:eastAsia="Arial" w:hAnsi="Arial" w:cs="Arial"/>
          <w:color w:val="000000"/>
          <w:sz w:val="20"/>
          <w:szCs w:val="20"/>
          <w:u w:val="single"/>
        </w:rPr>
        <w:t>Zuständige Stelle für Nachprüfungsverfahren:</w:t>
      </w:r>
    </w:p>
    <w:p w14:paraId="35C3771E" w14:textId="77777777" w:rsidR="00182F3A" w:rsidRDefault="009308AB">
      <w:pPr>
        <w:pBdr>
          <w:top w:val="nil"/>
          <w:left w:val="nil"/>
          <w:bottom w:val="nil"/>
          <w:right w:val="nil"/>
          <w:between w:val="nil"/>
        </w:pBdr>
        <w:spacing w:after="0"/>
        <w:ind w:left="567" w:right="108"/>
        <w:jc w:val="both"/>
        <w:rPr>
          <w:rFonts w:ascii="Arial" w:eastAsia="Arial" w:hAnsi="Arial" w:cs="Arial"/>
          <w:color w:val="000000"/>
          <w:sz w:val="20"/>
          <w:szCs w:val="20"/>
        </w:rPr>
      </w:pPr>
      <w:r>
        <w:rPr>
          <w:rFonts w:ascii="Arial" w:eastAsia="Arial" w:hAnsi="Arial" w:cs="Arial"/>
          <w:color w:val="000000"/>
          <w:sz w:val="20"/>
          <w:szCs w:val="20"/>
        </w:rPr>
        <w:t>Vergabekammer Bund</w:t>
      </w:r>
    </w:p>
    <w:p w14:paraId="35C3771F" w14:textId="77777777" w:rsidR="00182F3A" w:rsidRDefault="009308AB">
      <w:pPr>
        <w:pBdr>
          <w:top w:val="nil"/>
          <w:left w:val="nil"/>
          <w:bottom w:val="nil"/>
          <w:right w:val="nil"/>
          <w:between w:val="nil"/>
        </w:pBdr>
        <w:spacing w:after="0"/>
        <w:ind w:left="567" w:right="108"/>
        <w:jc w:val="both"/>
        <w:rPr>
          <w:rFonts w:ascii="Arial" w:eastAsia="Arial" w:hAnsi="Arial" w:cs="Arial"/>
          <w:color w:val="000000"/>
          <w:sz w:val="20"/>
          <w:szCs w:val="20"/>
        </w:rPr>
      </w:pPr>
      <w:r>
        <w:rPr>
          <w:rFonts w:ascii="Arial" w:eastAsia="Arial" w:hAnsi="Arial" w:cs="Arial"/>
          <w:color w:val="000000"/>
          <w:sz w:val="20"/>
          <w:szCs w:val="20"/>
        </w:rPr>
        <w:t>Villemomblerstraße 76</w:t>
      </w:r>
    </w:p>
    <w:p w14:paraId="35C37720" w14:textId="77777777" w:rsidR="00182F3A" w:rsidRDefault="009308AB">
      <w:pPr>
        <w:pBdr>
          <w:top w:val="nil"/>
          <w:left w:val="nil"/>
          <w:bottom w:val="nil"/>
          <w:right w:val="nil"/>
          <w:between w:val="nil"/>
        </w:pBdr>
        <w:spacing w:after="0"/>
        <w:ind w:left="567" w:right="108"/>
        <w:jc w:val="both"/>
        <w:rPr>
          <w:rFonts w:ascii="Arial" w:eastAsia="Arial" w:hAnsi="Arial" w:cs="Arial"/>
          <w:color w:val="000000"/>
          <w:sz w:val="20"/>
          <w:szCs w:val="20"/>
        </w:rPr>
      </w:pPr>
      <w:r>
        <w:rPr>
          <w:rFonts w:ascii="Arial" w:eastAsia="Arial" w:hAnsi="Arial" w:cs="Arial"/>
          <w:color w:val="000000"/>
          <w:sz w:val="20"/>
          <w:szCs w:val="20"/>
        </w:rPr>
        <w:t>53113 Bonn</w:t>
      </w:r>
    </w:p>
    <w:p w14:paraId="35C37721" w14:textId="77777777" w:rsidR="00182F3A" w:rsidRDefault="009308AB">
      <w:pPr>
        <w:pBdr>
          <w:top w:val="nil"/>
          <w:left w:val="nil"/>
          <w:bottom w:val="nil"/>
          <w:right w:val="nil"/>
          <w:between w:val="nil"/>
        </w:pBdr>
        <w:spacing w:after="0"/>
        <w:ind w:left="567" w:right="108"/>
        <w:jc w:val="both"/>
        <w:rPr>
          <w:rFonts w:ascii="Arial" w:eastAsia="Arial" w:hAnsi="Arial" w:cs="Arial"/>
          <w:color w:val="000000"/>
          <w:sz w:val="20"/>
          <w:szCs w:val="20"/>
        </w:rPr>
      </w:pPr>
      <w:r>
        <w:rPr>
          <w:rFonts w:ascii="Arial" w:eastAsia="Arial" w:hAnsi="Arial" w:cs="Arial"/>
          <w:color w:val="000000"/>
          <w:sz w:val="20"/>
          <w:szCs w:val="20"/>
        </w:rPr>
        <w:t>Telefon: 0228/9499-0</w:t>
      </w:r>
    </w:p>
    <w:p w14:paraId="35C37722" w14:textId="77777777" w:rsidR="00182F3A" w:rsidRDefault="009308AB">
      <w:pPr>
        <w:pBdr>
          <w:top w:val="nil"/>
          <w:left w:val="nil"/>
          <w:bottom w:val="nil"/>
          <w:right w:val="nil"/>
          <w:between w:val="nil"/>
        </w:pBdr>
        <w:spacing w:after="0"/>
        <w:ind w:left="567" w:right="108"/>
        <w:jc w:val="both"/>
        <w:rPr>
          <w:rFonts w:ascii="Arial" w:eastAsia="Arial" w:hAnsi="Arial" w:cs="Arial"/>
          <w:color w:val="000000"/>
          <w:sz w:val="20"/>
          <w:szCs w:val="20"/>
        </w:rPr>
      </w:pPr>
      <w:r>
        <w:rPr>
          <w:rFonts w:ascii="Arial" w:eastAsia="Arial" w:hAnsi="Arial" w:cs="Arial"/>
          <w:color w:val="000000"/>
          <w:sz w:val="20"/>
          <w:szCs w:val="20"/>
        </w:rPr>
        <w:t>Fax: 0228/9499-400</w:t>
      </w:r>
    </w:p>
    <w:p w14:paraId="35C37723" w14:textId="77777777" w:rsidR="00182F3A" w:rsidRPr="000638FF" w:rsidRDefault="009308AB">
      <w:pPr>
        <w:pBdr>
          <w:top w:val="nil"/>
          <w:left w:val="nil"/>
          <w:bottom w:val="nil"/>
          <w:right w:val="nil"/>
          <w:between w:val="nil"/>
        </w:pBdr>
        <w:spacing w:after="0"/>
        <w:ind w:left="567" w:right="108"/>
        <w:jc w:val="both"/>
        <w:rPr>
          <w:rFonts w:ascii="Arial" w:eastAsia="Arial" w:hAnsi="Arial" w:cs="Arial"/>
          <w:color w:val="000000"/>
          <w:sz w:val="20"/>
          <w:szCs w:val="20"/>
          <w:lang w:val="it-IT"/>
        </w:rPr>
      </w:pPr>
      <w:r w:rsidRPr="000638FF">
        <w:rPr>
          <w:rFonts w:ascii="Arial" w:eastAsia="Arial" w:hAnsi="Arial" w:cs="Arial"/>
          <w:color w:val="000000"/>
          <w:sz w:val="20"/>
          <w:szCs w:val="20"/>
          <w:lang w:val="it-IT"/>
        </w:rPr>
        <w:t>E-Mail: vk@bundeskartellamt.bund.de</w:t>
      </w:r>
    </w:p>
    <w:p w14:paraId="35C37724" w14:textId="77777777" w:rsidR="00182F3A" w:rsidRPr="000638FF" w:rsidRDefault="00182F3A">
      <w:pPr>
        <w:pBdr>
          <w:top w:val="nil"/>
          <w:left w:val="nil"/>
          <w:bottom w:val="nil"/>
          <w:right w:val="nil"/>
          <w:between w:val="nil"/>
        </w:pBdr>
        <w:spacing w:after="0"/>
        <w:ind w:left="567" w:right="108"/>
        <w:jc w:val="both"/>
        <w:rPr>
          <w:rFonts w:ascii="Arial" w:eastAsia="Arial" w:hAnsi="Arial" w:cs="Arial"/>
          <w:color w:val="000000"/>
          <w:sz w:val="20"/>
          <w:szCs w:val="20"/>
          <w:lang w:val="it-IT"/>
        </w:rPr>
      </w:pPr>
    </w:p>
    <w:p w14:paraId="35C37725" w14:textId="77777777" w:rsidR="00182F3A" w:rsidRPr="000638FF" w:rsidRDefault="00182F3A">
      <w:pPr>
        <w:pBdr>
          <w:top w:val="nil"/>
          <w:left w:val="nil"/>
          <w:bottom w:val="nil"/>
          <w:right w:val="nil"/>
          <w:between w:val="nil"/>
        </w:pBdr>
        <w:spacing w:after="0"/>
        <w:ind w:left="567" w:right="108"/>
        <w:jc w:val="both"/>
        <w:rPr>
          <w:rFonts w:ascii="Arial" w:eastAsia="Arial" w:hAnsi="Arial" w:cs="Arial"/>
          <w:color w:val="000000"/>
          <w:sz w:val="20"/>
          <w:szCs w:val="20"/>
          <w:lang w:val="it-IT"/>
        </w:rPr>
      </w:pPr>
    </w:p>
    <w:sectPr w:rsidR="00182F3A" w:rsidRPr="000638FF">
      <w:headerReference w:type="even" r:id="rId11"/>
      <w:headerReference w:type="default" r:id="rId12"/>
      <w:footerReference w:type="even" r:id="rId13"/>
      <w:footerReference w:type="default" r:id="rId14"/>
      <w:headerReference w:type="first" r:id="rId15"/>
      <w:footerReference w:type="first" r:id="rId16"/>
      <w:pgSz w:w="11906" w:h="16838"/>
      <w:pgMar w:top="1843" w:right="1274" w:bottom="1560"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D97448" w14:textId="77777777" w:rsidR="004F367E" w:rsidRDefault="004F367E">
      <w:pPr>
        <w:spacing w:after="0" w:line="240" w:lineRule="auto"/>
      </w:pPr>
      <w:r>
        <w:separator/>
      </w:r>
    </w:p>
  </w:endnote>
  <w:endnote w:type="continuationSeparator" w:id="0">
    <w:p w14:paraId="152CFE70" w14:textId="77777777" w:rsidR="004F367E" w:rsidRDefault="004F36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875C847C-61C5-4517-9E0F-B12EF530FC7B}"/>
    <w:embedBold r:id="rId2" w:fontKey="{770A52C2-5094-4D6D-BC86-16E557242F93}"/>
  </w:font>
  <w:font w:name="Cambria">
    <w:panose1 w:val="02040503050406030204"/>
    <w:charset w:val="00"/>
    <w:family w:val="roman"/>
    <w:pitch w:val="variable"/>
    <w:sig w:usb0="E00006FF" w:usb1="420024FF" w:usb2="02000000" w:usb3="00000000" w:csb0="0000019F" w:csb1="00000000"/>
    <w:embedRegular r:id="rId3" w:fontKey="{DC4C8333-74E0-4E9C-B827-9D25D2442AB5}"/>
    <w:embedBold r:id="rId4" w:fontKey="{8E73E0AE-1D1D-40BE-AC72-9506E0FF78D3}"/>
  </w:font>
  <w:font w:name="Georgia">
    <w:panose1 w:val="02040502050405020303"/>
    <w:charset w:val="00"/>
    <w:family w:val="roman"/>
    <w:pitch w:val="variable"/>
    <w:sig w:usb0="00000287" w:usb1="00000000" w:usb2="00000000" w:usb3="00000000" w:csb0="0000009F" w:csb1="00000000"/>
    <w:embedItalic r:id="rId5" w:fontKey="{482398C4-8F28-4150-9FEE-013C843A314D}"/>
  </w:font>
  <w:font w:name="Cambria Math">
    <w:panose1 w:val="02040503050406030204"/>
    <w:charset w:val="00"/>
    <w:family w:val="roman"/>
    <w:pitch w:val="variable"/>
    <w:sig w:usb0="E00006FF" w:usb1="420024FF" w:usb2="02000000" w:usb3="00000000" w:csb0="0000019F" w:csb1="00000000"/>
    <w:embedRegular r:id="rId6" w:fontKey="{B37CD6C7-5A84-45BB-9D23-AD497FC3004A}"/>
    <w:embedItalic r:id="rId7" w:fontKey="{960CDE03-AEDA-4E33-B627-F6B8F4B6A2B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C3772B" w14:textId="77777777" w:rsidR="00182F3A" w:rsidRDefault="009308AB">
    <w:pPr>
      <w:pBdr>
        <w:top w:val="nil"/>
        <w:left w:val="nil"/>
        <w:bottom w:val="nil"/>
        <w:right w:val="nil"/>
        <w:between w:val="nil"/>
      </w:pBdr>
      <w:tabs>
        <w:tab w:val="center" w:pos="4536"/>
        <w:tab w:val="right" w:pos="9072"/>
      </w:tabs>
      <w:spacing w:after="36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Pr>
        <w:rFonts w:ascii="Times New Roman" w:eastAsia="Times New Roman" w:hAnsi="Times New Roman" w:cs="Times New Roman"/>
        <w:color w:val="000000"/>
        <w:sz w:val="24"/>
        <w:szCs w:val="24"/>
      </w:rPr>
      <w:fldChar w:fldCharType="end"/>
    </w:r>
  </w:p>
  <w:p w14:paraId="35C3772C" w14:textId="77777777" w:rsidR="00182F3A" w:rsidRDefault="00182F3A">
    <w:pPr>
      <w:pBdr>
        <w:top w:val="nil"/>
        <w:left w:val="nil"/>
        <w:bottom w:val="nil"/>
        <w:right w:val="nil"/>
        <w:between w:val="nil"/>
      </w:pBdr>
      <w:tabs>
        <w:tab w:val="center" w:pos="4536"/>
        <w:tab w:val="right" w:pos="9072"/>
      </w:tabs>
      <w:spacing w:after="360"/>
      <w:rPr>
        <w:rFonts w:ascii="Times New Roman" w:eastAsia="Times New Roman" w:hAnsi="Times New Roman" w:cs="Times New Roman"/>
        <w:color w:val="000000"/>
        <w:sz w:val="24"/>
        <w:szCs w:val="24"/>
      </w:rPr>
    </w:pPr>
  </w:p>
  <w:p w14:paraId="35C3772D" w14:textId="77777777" w:rsidR="00182F3A" w:rsidRDefault="00182F3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C3772E" w14:textId="77777777" w:rsidR="00182F3A" w:rsidRDefault="00182F3A">
    <w:pPr>
      <w:pBdr>
        <w:top w:val="nil"/>
        <w:left w:val="nil"/>
        <w:bottom w:val="nil"/>
        <w:right w:val="nil"/>
        <w:between w:val="nil"/>
      </w:pBdr>
      <w:tabs>
        <w:tab w:val="center" w:pos="4536"/>
        <w:tab w:val="right" w:pos="9072"/>
      </w:tabs>
      <w:spacing w:after="0"/>
      <w:jc w:val="right"/>
      <w:rPr>
        <w:rFonts w:ascii="Arial" w:eastAsia="Arial" w:hAnsi="Arial" w:cs="Arial"/>
        <w:color w:val="000000"/>
        <w:sz w:val="20"/>
        <w:szCs w:val="20"/>
      </w:rPr>
    </w:pPr>
  </w:p>
  <w:p w14:paraId="35C3772F" w14:textId="69D6735C" w:rsidR="00182F3A" w:rsidRDefault="009308AB">
    <w:pPr>
      <w:pBdr>
        <w:top w:val="nil"/>
        <w:left w:val="nil"/>
        <w:bottom w:val="nil"/>
        <w:right w:val="nil"/>
        <w:between w:val="nil"/>
      </w:pBdr>
      <w:tabs>
        <w:tab w:val="center" w:pos="4536"/>
        <w:tab w:val="right" w:pos="9072"/>
      </w:tabs>
      <w:spacing w:after="0"/>
      <w:jc w:val="right"/>
      <w:rPr>
        <w:rFonts w:ascii="Arial" w:eastAsia="Arial" w:hAnsi="Arial" w:cs="Arial"/>
        <w:color w:val="000000"/>
        <w:sz w:val="16"/>
        <w:szCs w:val="16"/>
      </w:rPr>
    </w:pPr>
    <w:r>
      <w:rPr>
        <w:rFonts w:ascii="Arial" w:eastAsia="Arial" w:hAnsi="Arial" w:cs="Arial"/>
        <w:color w:val="000000"/>
        <w:sz w:val="16"/>
        <w:szCs w:val="16"/>
      </w:rPr>
      <w:tab/>
    </w:r>
    <w:r>
      <w:rPr>
        <w:rFonts w:ascii="Arial" w:eastAsia="Arial" w:hAnsi="Arial" w:cs="Arial"/>
        <w:color w:val="000000"/>
        <w:sz w:val="16"/>
        <w:szCs w:val="16"/>
      </w:rPr>
      <w:tab/>
      <w:t xml:space="preserve">Seite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5A6859">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von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5A6859">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C37734" w14:textId="77777777" w:rsidR="00182F3A" w:rsidRDefault="009308AB">
    <w:pPr>
      <w:pBdr>
        <w:top w:val="nil"/>
        <w:left w:val="nil"/>
        <w:bottom w:val="nil"/>
        <w:right w:val="nil"/>
        <w:between w:val="nil"/>
      </w:pBdr>
      <w:tabs>
        <w:tab w:val="center" w:pos="4536"/>
        <w:tab w:val="right" w:pos="9072"/>
      </w:tabs>
      <w:spacing w:after="0"/>
      <w:jc w:val="right"/>
      <w:rPr>
        <w:rFonts w:ascii="Arial" w:eastAsia="Arial" w:hAnsi="Arial" w:cs="Arial"/>
        <w:color w:val="000000"/>
        <w:sz w:val="20"/>
        <w:szCs w:val="20"/>
      </w:rPr>
    </w:pPr>
    <w:r>
      <w:rPr>
        <w:rFonts w:ascii="Arial" w:eastAsia="Arial" w:hAnsi="Arial" w:cs="Arial"/>
        <w:color w:val="000000"/>
        <w:sz w:val="20"/>
        <w:szCs w:val="20"/>
      </w:rPr>
      <w:t xml:space="preserve">                                                                                                   Seite </w:t>
    </w: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separate"/>
    </w:r>
    <w:r>
      <w:rPr>
        <w:rFonts w:ascii="Arial" w:eastAsia="Arial" w:hAnsi="Arial" w:cs="Arial"/>
        <w:color w:val="000000"/>
        <w:sz w:val="20"/>
        <w:szCs w:val="20"/>
      </w:rPr>
      <w:fldChar w:fldCharType="end"/>
    </w:r>
    <w:r>
      <w:rPr>
        <w:rFonts w:ascii="Arial" w:eastAsia="Arial" w:hAnsi="Arial" w:cs="Arial"/>
        <w:color w:val="000000"/>
        <w:sz w:val="20"/>
        <w:szCs w:val="20"/>
      </w:rPr>
      <w:t xml:space="preserve"> von </w:t>
    </w:r>
    <w:r>
      <w:rPr>
        <w:rFonts w:ascii="Arial" w:eastAsia="Arial" w:hAnsi="Arial" w:cs="Arial"/>
        <w:color w:val="000000"/>
        <w:sz w:val="20"/>
        <w:szCs w:val="20"/>
      </w:rPr>
      <w:fldChar w:fldCharType="begin"/>
    </w:r>
    <w:r>
      <w:rPr>
        <w:rFonts w:ascii="Arial" w:eastAsia="Arial" w:hAnsi="Arial" w:cs="Arial"/>
        <w:color w:val="000000"/>
        <w:sz w:val="20"/>
        <w:szCs w:val="20"/>
      </w:rPr>
      <w:instrText>NUMPAGES</w:instrText>
    </w:r>
    <w:r>
      <w:rPr>
        <w:rFonts w:ascii="Arial" w:eastAsia="Arial" w:hAnsi="Arial" w:cs="Arial"/>
        <w:color w:val="000000"/>
        <w:sz w:val="20"/>
        <w:szCs w:val="20"/>
      </w:rPr>
      <w:fldChar w:fldCharType="separate"/>
    </w:r>
    <w:r>
      <w:rPr>
        <w:rFonts w:ascii="Arial" w:eastAsia="Arial" w:hAnsi="Arial" w:cs="Arial"/>
        <w:color w:val="000000"/>
        <w:sz w:val="20"/>
        <w:szCs w:val="20"/>
      </w:rPr>
      <w:fldChar w:fldCharType="end"/>
    </w:r>
  </w:p>
  <w:p w14:paraId="35C37735" w14:textId="77777777" w:rsidR="00182F3A" w:rsidRDefault="00182F3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E07381" w14:textId="77777777" w:rsidR="004F367E" w:rsidRDefault="004F367E">
      <w:pPr>
        <w:spacing w:after="0" w:line="240" w:lineRule="auto"/>
      </w:pPr>
      <w:r>
        <w:separator/>
      </w:r>
    </w:p>
  </w:footnote>
  <w:footnote w:type="continuationSeparator" w:id="0">
    <w:p w14:paraId="77EDED2B" w14:textId="77777777" w:rsidR="004F367E" w:rsidRDefault="004F367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C37726" w14:textId="77777777" w:rsidR="00182F3A" w:rsidRDefault="009308AB">
    <w:pPr>
      <w:pBdr>
        <w:top w:val="nil"/>
        <w:left w:val="nil"/>
        <w:bottom w:val="nil"/>
        <w:right w:val="nil"/>
        <w:between w:val="nil"/>
      </w:pBdr>
      <w:tabs>
        <w:tab w:val="center" w:pos="4536"/>
        <w:tab w:val="right" w:pos="9072"/>
      </w:tabs>
      <w:spacing w:after="36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Pr>
        <w:rFonts w:ascii="Times New Roman" w:eastAsia="Times New Roman" w:hAnsi="Times New Roman" w:cs="Times New Roman"/>
        <w:color w:val="000000"/>
        <w:sz w:val="24"/>
        <w:szCs w:val="24"/>
      </w:rPr>
      <w:fldChar w:fldCharType="end"/>
    </w:r>
  </w:p>
  <w:p w14:paraId="35C37727" w14:textId="77777777" w:rsidR="00182F3A" w:rsidRDefault="00182F3A">
    <w:pPr>
      <w:pBdr>
        <w:top w:val="nil"/>
        <w:left w:val="nil"/>
        <w:bottom w:val="nil"/>
        <w:right w:val="nil"/>
        <w:between w:val="nil"/>
      </w:pBdr>
      <w:tabs>
        <w:tab w:val="center" w:pos="4536"/>
        <w:tab w:val="right" w:pos="9072"/>
      </w:tabs>
      <w:spacing w:after="360"/>
      <w:rPr>
        <w:rFonts w:ascii="Times New Roman" w:eastAsia="Times New Roman" w:hAnsi="Times New Roman" w:cs="Times New Roman"/>
        <w:color w:val="000000"/>
        <w:sz w:val="24"/>
        <w:szCs w:val="24"/>
      </w:rPr>
    </w:pPr>
  </w:p>
  <w:p w14:paraId="35C37728" w14:textId="77777777" w:rsidR="00182F3A" w:rsidRDefault="00182F3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C37729" w14:textId="60EF68A5" w:rsidR="00182F3A" w:rsidRDefault="00E70EED">
    <w:pPr>
      <w:pBdr>
        <w:top w:val="nil"/>
        <w:left w:val="nil"/>
        <w:bottom w:val="nil"/>
        <w:right w:val="nil"/>
        <w:between w:val="nil"/>
      </w:pBdr>
      <w:tabs>
        <w:tab w:val="left" w:pos="360"/>
      </w:tabs>
      <w:spacing w:after="0"/>
      <w:jc w:val="both"/>
      <w:rPr>
        <w:rFonts w:ascii="Arial" w:eastAsia="Arial" w:hAnsi="Arial" w:cs="Arial"/>
        <w:b/>
        <w:bCs/>
      </w:rPr>
    </w:pPr>
    <w:r>
      <w:rPr>
        <w:noProof/>
      </w:rPr>
      <mc:AlternateContent>
        <mc:Choice Requires="wpg">
          <w:drawing>
            <wp:anchor distT="0" distB="0" distL="114300" distR="114300" simplePos="0" relativeHeight="251658244" behindDoc="0" locked="0" layoutInCell="1" allowOverlap="1" wp14:anchorId="4ECBAEA8" wp14:editId="38F1DAEC">
              <wp:simplePos x="0" y="0"/>
              <wp:positionH relativeFrom="column">
                <wp:posOffset>-167005</wp:posOffset>
              </wp:positionH>
              <wp:positionV relativeFrom="paragraph">
                <wp:posOffset>-97790</wp:posOffset>
              </wp:positionV>
              <wp:extent cx="1784350" cy="1219200"/>
              <wp:effectExtent l="0" t="0" r="63500" b="0"/>
              <wp:wrapNone/>
              <wp:docPr id="781532773" name="Group 16"/>
              <wp:cNvGraphicFramePr/>
              <a:graphic xmlns:a="http://schemas.openxmlformats.org/drawingml/2006/main">
                <a:graphicData uri="http://schemas.microsoft.com/office/word/2010/wordprocessingGroup">
                  <wpg:wgp>
                    <wpg:cNvGrpSpPr/>
                    <wpg:grpSpPr>
                      <a:xfrm>
                        <a:off x="0" y="0"/>
                        <a:ext cx="1784350" cy="1219200"/>
                        <a:chOff x="-26900" y="40061"/>
                        <a:chExt cx="1552519" cy="1183711"/>
                      </a:xfrm>
                    </wpg:grpSpPr>
                    <wps:wsp>
                      <wps:cNvPr id="1768095753" name="Rectangle 1768095753"/>
                      <wps:cNvSpPr/>
                      <wps:spPr>
                        <a:xfrm>
                          <a:off x="100101" y="152509"/>
                          <a:ext cx="32400" cy="323219"/>
                        </a:xfrm>
                        <a:prstGeom prst="rect">
                          <a:avLst/>
                        </a:prstGeom>
                        <a:noFill/>
                        <a:ln>
                          <a:noFill/>
                        </a:ln>
                      </wps:spPr>
                      <wps:txbx>
                        <w:txbxContent>
                          <w:p w14:paraId="35C37743" w14:textId="77777777" w:rsidR="00182F3A" w:rsidRDefault="009308AB">
                            <w:pPr>
                              <w:spacing w:line="275" w:lineRule="auto"/>
                              <w:textDirection w:val="btLr"/>
                            </w:pPr>
                            <w:r>
                              <w:rPr>
                                <w:rFonts w:ascii="Times New Roman" w:eastAsia="Times New Roman" w:hAnsi="Times New Roman" w:cs="Times New Roman"/>
                                <w:color w:val="000000"/>
                                <w:sz w:val="20"/>
                              </w:rPr>
                              <w:t xml:space="preserve"> </w:t>
                            </w:r>
                          </w:p>
                        </w:txbxContent>
                      </wps:txbx>
                      <wps:bodyPr spcFirstLastPara="1" wrap="square" lIns="88900" tIns="38100" rIns="88900" bIns="38100" anchor="t" anchorCtr="0">
                        <a:noAutofit/>
                      </wps:bodyPr>
                    </wps:wsp>
                    <wps:wsp>
                      <wps:cNvPr id="1807444932" name="Rectangle 1807444932"/>
                      <wps:cNvSpPr/>
                      <wps:spPr>
                        <a:xfrm>
                          <a:off x="100101" y="294117"/>
                          <a:ext cx="28500" cy="323219"/>
                        </a:xfrm>
                        <a:prstGeom prst="rect">
                          <a:avLst/>
                        </a:prstGeom>
                        <a:noFill/>
                        <a:ln>
                          <a:noFill/>
                        </a:ln>
                      </wps:spPr>
                      <wps:txbx>
                        <w:txbxContent>
                          <w:p w14:paraId="35C37744" w14:textId="77777777" w:rsidR="00182F3A" w:rsidRDefault="009308AB">
                            <w:pPr>
                              <w:spacing w:line="275" w:lineRule="auto"/>
                              <w:textDirection w:val="btLr"/>
                            </w:pPr>
                            <w:r>
                              <w:rPr>
                                <w:rFonts w:ascii="Arial" w:eastAsia="Arial" w:hAnsi="Arial" w:cs="Arial"/>
                                <w:color w:val="000000"/>
                                <w:sz w:val="16"/>
                              </w:rPr>
                              <w:t xml:space="preserve"> </w:t>
                            </w:r>
                          </w:p>
                        </w:txbxContent>
                      </wps:txbx>
                      <wps:bodyPr spcFirstLastPara="1" wrap="square" lIns="88900" tIns="38100" rIns="88900" bIns="38100" anchor="t" anchorCtr="0">
                        <a:noAutofit/>
                      </wps:bodyPr>
                    </wps:wsp>
                    <wps:wsp>
                      <wps:cNvPr id="714150100" name="Rectangle 714150100"/>
                      <wps:cNvSpPr/>
                      <wps:spPr>
                        <a:xfrm>
                          <a:off x="-26900" y="40061"/>
                          <a:ext cx="1524019" cy="454627"/>
                        </a:xfrm>
                        <a:prstGeom prst="rect">
                          <a:avLst/>
                        </a:prstGeom>
                        <a:noFill/>
                        <a:ln>
                          <a:noFill/>
                        </a:ln>
                      </wps:spPr>
                      <wps:txbx>
                        <w:txbxContent>
                          <w:p w14:paraId="35C37745" w14:textId="77777777" w:rsidR="00182F3A" w:rsidRDefault="009308AB">
                            <w:pPr>
                              <w:spacing w:after="0" w:line="240" w:lineRule="auto"/>
                              <w:textDirection w:val="btLr"/>
                            </w:pPr>
                            <w:r>
                              <w:rPr>
                                <w:rFonts w:ascii="Arial" w:eastAsia="Arial" w:hAnsi="Arial" w:cs="Arial"/>
                                <w:color w:val="000000"/>
                                <w:sz w:val="16"/>
                              </w:rPr>
                              <w:t>Verfahrensbedingungen</w:t>
                            </w:r>
                          </w:p>
                          <w:p w14:paraId="35C37746" w14:textId="77777777" w:rsidR="00182F3A" w:rsidRDefault="009308AB">
                            <w:pPr>
                              <w:spacing w:line="275" w:lineRule="auto"/>
                              <w:textDirection w:val="btLr"/>
                            </w:pPr>
                            <w:r>
                              <w:rPr>
                                <w:rFonts w:ascii="Arial" w:eastAsia="Arial" w:hAnsi="Arial" w:cs="Arial"/>
                                <w:color w:val="000000"/>
                                <w:sz w:val="16"/>
                              </w:rPr>
                              <w:t>Verfahrensart: Offenes Verfahren EU V 01/2026 – POLYTON</w:t>
                            </w:r>
                          </w:p>
                          <w:p w14:paraId="35C37747" w14:textId="77777777" w:rsidR="00182F3A" w:rsidRDefault="009308AB">
                            <w:pPr>
                              <w:spacing w:line="275" w:lineRule="auto"/>
                              <w:textDirection w:val="btLr"/>
                            </w:pPr>
                            <w:r>
                              <w:rPr>
                                <w:rFonts w:ascii="Arial" w:eastAsia="Arial" w:hAnsi="Arial" w:cs="Arial"/>
                                <w:color w:val="000000"/>
                                <w:sz w:val="16"/>
                              </w:rPr>
                              <w:t xml:space="preserve"> </w:t>
                            </w:r>
                          </w:p>
                          <w:p w14:paraId="35C37748" w14:textId="77777777" w:rsidR="00182F3A" w:rsidRDefault="00182F3A">
                            <w:pPr>
                              <w:spacing w:after="0" w:line="240" w:lineRule="auto"/>
                              <w:textDirection w:val="btLr"/>
                            </w:pPr>
                          </w:p>
                          <w:p w14:paraId="35C37749" w14:textId="77777777" w:rsidR="00182F3A" w:rsidRDefault="00182F3A">
                            <w:pPr>
                              <w:spacing w:after="0" w:line="240" w:lineRule="auto"/>
                              <w:textDirection w:val="btLr"/>
                            </w:pPr>
                          </w:p>
                          <w:p w14:paraId="35C3774A" w14:textId="77777777" w:rsidR="00182F3A" w:rsidRDefault="00182F3A">
                            <w:pPr>
                              <w:spacing w:after="0" w:line="240" w:lineRule="auto"/>
                              <w:textDirection w:val="btLr"/>
                            </w:pPr>
                          </w:p>
                          <w:p w14:paraId="35C3774B" w14:textId="77777777" w:rsidR="00182F3A" w:rsidRDefault="009308AB">
                            <w:pPr>
                              <w:spacing w:after="0" w:line="240" w:lineRule="auto"/>
                              <w:textDirection w:val="btLr"/>
                            </w:pPr>
                            <w:r>
                              <w:rPr>
                                <w:rFonts w:ascii="Arial" w:eastAsia="Arial" w:hAnsi="Arial" w:cs="Arial"/>
                                <w:color w:val="000000"/>
                                <w:sz w:val="16"/>
                              </w:rPr>
                              <w:t xml:space="preserve">  </w:t>
                            </w:r>
                          </w:p>
                        </w:txbxContent>
                      </wps:txbx>
                      <wps:bodyPr spcFirstLastPara="1" wrap="square" lIns="88900" tIns="38100" rIns="88900" bIns="38100" anchor="t" anchorCtr="0">
                        <a:noAutofit/>
                      </wps:bodyPr>
                    </wps:wsp>
                    <wps:wsp>
                      <wps:cNvPr id="1182940894" name="Rectangle 1182940894"/>
                      <wps:cNvSpPr/>
                      <wps:spPr>
                        <a:xfrm>
                          <a:off x="552207" y="409724"/>
                          <a:ext cx="28600" cy="323219"/>
                        </a:xfrm>
                        <a:prstGeom prst="rect">
                          <a:avLst/>
                        </a:prstGeom>
                        <a:noFill/>
                        <a:ln>
                          <a:noFill/>
                        </a:ln>
                      </wps:spPr>
                      <wps:txbx>
                        <w:txbxContent>
                          <w:p w14:paraId="35C3774C" w14:textId="77777777" w:rsidR="00182F3A" w:rsidRDefault="009308AB">
                            <w:pPr>
                              <w:spacing w:line="275" w:lineRule="auto"/>
                              <w:textDirection w:val="btLr"/>
                            </w:pPr>
                            <w:r>
                              <w:rPr>
                                <w:rFonts w:ascii="Arial" w:eastAsia="Arial" w:hAnsi="Arial" w:cs="Arial"/>
                                <w:color w:val="000000"/>
                                <w:sz w:val="16"/>
                              </w:rPr>
                              <w:t xml:space="preserve"> </w:t>
                            </w:r>
                          </w:p>
                        </w:txbxContent>
                      </wps:txbx>
                      <wps:bodyPr spcFirstLastPara="1" wrap="square" lIns="88900" tIns="38100" rIns="88900" bIns="38100" anchor="t" anchorCtr="0">
                        <a:noAutofit/>
                      </wps:bodyPr>
                    </wps:wsp>
                    <wps:wsp>
                      <wps:cNvPr id="1408605031" name="Rectangle 1408605031"/>
                      <wps:cNvSpPr/>
                      <wps:spPr>
                        <a:xfrm>
                          <a:off x="1497119" y="409724"/>
                          <a:ext cx="28500" cy="323219"/>
                        </a:xfrm>
                        <a:prstGeom prst="rect">
                          <a:avLst/>
                        </a:prstGeom>
                        <a:noFill/>
                        <a:ln>
                          <a:noFill/>
                        </a:ln>
                      </wps:spPr>
                      <wps:txbx>
                        <w:txbxContent>
                          <w:p w14:paraId="35C3774E" w14:textId="77777777" w:rsidR="00182F3A" w:rsidRDefault="009308AB">
                            <w:pPr>
                              <w:spacing w:line="275" w:lineRule="auto"/>
                              <w:textDirection w:val="btLr"/>
                            </w:pPr>
                            <w:r>
                              <w:rPr>
                                <w:rFonts w:ascii="Arial" w:eastAsia="Arial" w:hAnsi="Arial" w:cs="Arial"/>
                                <w:color w:val="000000"/>
                                <w:sz w:val="16"/>
                              </w:rPr>
                              <w:t xml:space="preserve"> </w:t>
                            </w:r>
                          </w:p>
                        </w:txbxContent>
                      </wps:txbx>
                      <wps:bodyPr spcFirstLastPara="1" wrap="square" lIns="88900" tIns="38100" rIns="88900" bIns="38100" anchor="t" anchorCtr="0">
                        <a:noAutofit/>
                      </wps:bodyPr>
                    </wps:wsp>
                    <wps:wsp>
                      <wps:cNvPr id="1455493828" name="Rectangle 1455493828"/>
                      <wps:cNvSpPr/>
                      <wps:spPr>
                        <a:xfrm>
                          <a:off x="100101" y="525231"/>
                          <a:ext cx="28500" cy="323219"/>
                        </a:xfrm>
                        <a:prstGeom prst="rect">
                          <a:avLst/>
                        </a:prstGeom>
                        <a:noFill/>
                        <a:ln>
                          <a:noFill/>
                        </a:ln>
                      </wps:spPr>
                      <wps:txbx>
                        <w:txbxContent>
                          <w:p w14:paraId="35C3774F" w14:textId="77777777" w:rsidR="00182F3A" w:rsidRDefault="009308AB">
                            <w:pPr>
                              <w:spacing w:line="275" w:lineRule="auto"/>
                              <w:textDirection w:val="btLr"/>
                            </w:pPr>
                            <w:r>
                              <w:rPr>
                                <w:rFonts w:ascii="Arial" w:eastAsia="Arial" w:hAnsi="Arial" w:cs="Arial"/>
                                <w:color w:val="000000"/>
                                <w:sz w:val="16"/>
                              </w:rPr>
                              <w:t xml:space="preserve"> </w:t>
                            </w:r>
                          </w:p>
                        </w:txbxContent>
                      </wps:txbx>
                      <wps:bodyPr spcFirstLastPara="1" wrap="square" lIns="88900" tIns="38100" rIns="88900" bIns="38100" anchor="t" anchorCtr="0">
                        <a:noAutofit/>
                      </wps:bodyPr>
                    </wps:wsp>
                    <wps:wsp>
                      <wps:cNvPr id="1482101293" name="Rectangle 1482101293"/>
                      <wps:cNvSpPr/>
                      <wps:spPr>
                        <a:xfrm>
                          <a:off x="764309" y="525231"/>
                          <a:ext cx="81901" cy="323219"/>
                        </a:xfrm>
                        <a:prstGeom prst="rect">
                          <a:avLst/>
                        </a:prstGeom>
                        <a:noFill/>
                        <a:ln>
                          <a:noFill/>
                        </a:ln>
                      </wps:spPr>
                      <wps:txbx>
                        <w:txbxContent>
                          <w:p w14:paraId="35C37750" w14:textId="77777777" w:rsidR="00182F3A" w:rsidRDefault="00182F3A">
                            <w:pPr>
                              <w:spacing w:line="275" w:lineRule="auto"/>
                              <w:textDirection w:val="btLr"/>
                            </w:pPr>
                          </w:p>
                        </w:txbxContent>
                      </wps:txbx>
                      <wps:bodyPr spcFirstLastPara="1" wrap="square" lIns="88900" tIns="38100" rIns="88900" bIns="38100" anchor="t" anchorCtr="0">
                        <a:noAutofit/>
                      </wps:bodyPr>
                    </wps:wsp>
                    <wps:wsp>
                      <wps:cNvPr id="1305216695" name="Rectangle 1305216695"/>
                      <wps:cNvSpPr/>
                      <wps:spPr>
                        <a:xfrm>
                          <a:off x="807510" y="638938"/>
                          <a:ext cx="28500" cy="323219"/>
                        </a:xfrm>
                        <a:prstGeom prst="rect">
                          <a:avLst/>
                        </a:prstGeom>
                        <a:noFill/>
                        <a:ln>
                          <a:noFill/>
                        </a:ln>
                      </wps:spPr>
                      <wps:txbx>
                        <w:txbxContent>
                          <w:p w14:paraId="35C37752" w14:textId="77777777" w:rsidR="00182F3A" w:rsidRDefault="009308AB">
                            <w:pPr>
                              <w:spacing w:line="275" w:lineRule="auto"/>
                              <w:textDirection w:val="btLr"/>
                            </w:pPr>
                            <w:r>
                              <w:rPr>
                                <w:rFonts w:ascii="Arial" w:eastAsia="Arial" w:hAnsi="Arial" w:cs="Arial"/>
                                <w:color w:val="000000"/>
                                <w:sz w:val="16"/>
                              </w:rPr>
                              <w:t xml:space="preserve"> </w:t>
                            </w:r>
                          </w:p>
                        </w:txbxContent>
                      </wps:txbx>
                      <wps:bodyPr spcFirstLastPara="1" wrap="square" lIns="88900" tIns="38100" rIns="88900" bIns="38100" anchor="t" anchorCtr="0">
                        <a:noAutofit/>
                      </wps:bodyPr>
                    </wps:wsp>
                    <wps:wsp>
                      <wps:cNvPr id="178958929" name="Rectangle 178958929"/>
                      <wps:cNvSpPr/>
                      <wps:spPr>
                        <a:xfrm>
                          <a:off x="1313616" y="638938"/>
                          <a:ext cx="28500" cy="323219"/>
                        </a:xfrm>
                        <a:prstGeom prst="rect">
                          <a:avLst/>
                        </a:prstGeom>
                        <a:noFill/>
                        <a:ln>
                          <a:noFill/>
                        </a:ln>
                      </wps:spPr>
                      <wps:txbx>
                        <w:txbxContent>
                          <w:p w14:paraId="35C37753" w14:textId="77777777" w:rsidR="00182F3A" w:rsidRDefault="009308AB">
                            <w:pPr>
                              <w:spacing w:line="275" w:lineRule="auto"/>
                              <w:textDirection w:val="btLr"/>
                            </w:pPr>
                            <w:r>
                              <w:rPr>
                                <w:rFonts w:ascii="Arial" w:eastAsia="Arial" w:hAnsi="Arial" w:cs="Arial"/>
                                <w:color w:val="000000"/>
                                <w:sz w:val="16"/>
                              </w:rPr>
                              <w:t xml:space="preserve"> </w:t>
                            </w:r>
                          </w:p>
                        </w:txbxContent>
                      </wps:txbx>
                      <wps:bodyPr spcFirstLastPara="1" wrap="square" lIns="88900" tIns="38100" rIns="88900" bIns="38100" anchor="t" anchorCtr="0">
                        <a:noAutofit/>
                      </wps:bodyPr>
                    </wps:wsp>
                    <wps:wsp>
                      <wps:cNvPr id="1446915047" name="Rectangle 1446915047"/>
                      <wps:cNvSpPr/>
                      <wps:spPr>
                        <a:xfrm>
                          <a:off x="100101" y="756445"/>
                          <a:ext cx="32400" cy="323219"/>
                        </a:xfrm>
                        <a:prstGeom prst="rect">
                          <a:avLst/>
                        </a:prstGeom>
                        <a:noFill/>
                        <a:ln>
                          <a:noFill/>
                        </a:ln>
                      </wps:spPr>
                      <wps:txbx>
                        <w:txbxContent>
                          <w:p w14:paraId="35C37754" w14:textId="77777777" w:rsidR="00182F3A" w:rsidRDefault="009308AB">
                            <w:pPr>
                              <w:spacing w:line="275" w:lineRule="auto"/>
                              <w:textDirection w:val="btLr"/>
                            </w:pPr>
                            <w:r>
                              <w:rPr>
                                <w:rFonts w:ascii="Times New Roman" w:eastAsia="Times New Roman" w:hAnsi="Times New Roman" w:cs="Times New Roman"/>
                                <w:color w:val="000000"/>
                                <w:sz w:val="20"/>
                              </w:rPr>
                              <w:t xml:space="preserve"> </w:t>
                            </w:r>
                          </w:p>
                        </w:txbxContent>
                      </wps:txbx>
                      <wps:bodyPr spcFirstLastPara="1" wrap="square" lIns="88900" tIns="38100" rIns="88900" bIns="38100" anchor="t" anchorCtr="0">
                        <a:noAutofit/>
                      </wps:bodyPr>
                    </wps:wsp>
                    <wps:wsp>
                      <wps:cNvPr id="24237572" name="Rectangle 24237572"/>
                      <wps:cNvSpPr/>
                      <wps:spPr>
                        <a:xfrm>
                          <a:off x="100101" y="900553"/>
                          <a:ext cx="32400" cy="323219"/>
                        </a:xfrm>
                        <a:prstGeom prst="rect">
                          <a:avLst/>
                        </a:prstGeom>
                        <a:noFill/>
                        <a:ln>
                          <a:noFill/>
                        </a:ln>
                      </wps:spPr>
                      <wps:txbx>
                        <w:txbxContent>
                          <w:p w14:paraId="35C37755" w14:textId="77777777" w:rsidR="00182F3A" w:rsidRDefault="009308AB">
                            <w:pPr>
                              <w:spacing w:line="275" w:lineRule="auto"/>
                              <w:textDirection w:val="btLr"/>
                            </w:pPr>
                            <w:r>
                              <w:rPr>
                                <w:rFonts w:ascii="Times New Roman" w:eastAsia="Times New Roman" w:hAnsi="Times New Roman" w:cs="Times New Roman"/>
                                <w:color w:val="000000"/>
                                <w:sz w:val="20"/>
                              </w:rPr>
                              <w:t xml:space="preserve"> </w:t>
                            </w:r>
                          </w:p>
                        </w:txbxContent>
                      </wps:txbx>
                      <wps:bodyPr spcFirstLastPara="1" wrap="square" lIns="88900" tIns="38100" rIns="88900" bIns="3810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ECBAEA8" id="Group 16" o:spid="_x0000_s1026" style="position:absolute;left:0;text-align:left;margin-left:-13.15pt;margin-top:-7.7pt;width:140.5pt;height:96pt;z-index:251658244;mso-width-relative:margin;mso-height-relative:margin" coordorigin="-269,400" coordsize="15525,118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">
              <v:rect id="Rectangle 1768095753" o:spid="_x0000_s1027" style="position:absolute;left:1001;top:1525;width:32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" filled="f" stroked="f">
                <v:textbox inset="7pt,3pt,7pt,3pt">
                  <w:txbxContent>
                    <w:p w14:paraId="35C37743" w14:textId="77777777" w:rsidR="00182F3A" w:rsidRDefault="009308AB">
                      <w:pPr>
                        <w:spacing w:line="275" w:lineRule="auto"/>
                        <w:textDirection w:val="btLr"/>
                      </w:pPr>
                      <w:r>
                        <w:rPr>
                          <w:rFonts w:ascii="Times New Roman" w:eastAsia="Times New Roman" w:hAnsi="Times New Roman" w:cs="Times New Roman"/>
                          <w:color w:val="000000"/>
                          <w:sz w:val="20"/>
                        </w:rPr>
                        <w:t xml:space="preserve"> </w:t>
                      </w:r>
                    </w:p>
                  </w:txbxContent>
                </v:textbox>
              </v:rect>
              <v:rect id="Rectangle 1807444932" o:spid="_x0000_s1028" style="position:absolute;left:1001;top:2941;width:285;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" filled="f" stroked="f">
                <v:textbox inset="7pt,3pt,7pt,3pt">
                  <w:txbxContent>
                    <w:p w14:paraId="35C37744" w14:textId="77777777" w:rsidR="00182F3A" w:rsidRDefault="009308AB">
                      <w:pPr>
                        <w:spacing w:line="275" w:lineRule="auto"/>
                        <w:textDirection w:val="btLr"/>
                      </w:pPr>
                      <w:r>
                        <w:rPr>
                          <w:rFonts w:ascii="Arial" w:eastAsia="Arial" w:hAnsi="Arial" w:cs="Arial"/>
                          <w:color w:val="000000"/>
                          <w:sz w:val="16"/>
                        </w:rPr>
                        <w:t xml:space="preserve"> </w:t>
                      </w:r>
                    </w:p>
                  </w:txbxContent>
                </v:textbox>
              </v:rect>
              <v:rect id="Rectangle 714150100" o:spid="_x0000_s1029" style="position:absolute;left:-269;top:400;width:15240;height:4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" filled="f" stroked="f">
                <v:textbox inset="7pt,3pt,7pt,3pt">
                  <w:txbxContent>
                    <w:p w14:paraId="35C37745" w14:textId="77777777" w:rsidR="00182F3A" w:rsidRDefault="009308AB">
                      <w:pPr>
                        <w:spacing w:after="0" w:line="240" w:lineRule="auto"/>
                        <w:textDirection w:val="btLr"/>
                      </w:pPr>
                      <w:r>
                        <w:rPr>
                          <w:rFonts w:ascii="Arial" w:eastAsia="Arial" w:hAnsi="Arial" w:cs="Arial"/>
                          <w:color w:val="000000"/>
                          <w:sz w:val="16"/>
                        </w:rPr>
                        <w:t>Verfahrensbedingungen</w:t>
                      </w:r>
                    </w:p>
                    <w:p w14:paraId="35C37746" w14:textId="77777777" w:rsidR="00182F3A" w:rsidRDefault="009308AB">
                      <w:pPr>
                        <w:spacing w:line="275" w:lineRule="auto"/>
                        <w:textDirection w:val="btLr"/>
                      </w:pPr>
                      <w:r>
                        <w:rPr>
                          <w:rFonts w:ascii="Arial" w:eastAsia="Arial" w:hAnsi="Arial" w:cs="Arial"/>
                          <w:color w:val="000000"/>
                          <w:sz w:val="16"/>
                        </w:rPr>
                        <w:t>Verfahrensart: Offenes Verfahren EU V 01/2026 – POLYTON</w:t>
                      </w:r>
                    </w:p>
                    <w:p w14:paraId="35C37747" w14:textId="77777777" w:rsidR="00182F3A" w:rsidRDefault="009308AB">
                      <w:pPr>
                        <w:spacing w:line="275" w:lineRule="auto"/>
                        <w:textDirection w:val="btLr"/>
                      </w:pPr>
                      <w:r>
                        <w:rPr>
                          <w:rFonts w:ascii="Arial" w:eastAsia="Arial" w:hAnsi="Arial" w:cs="Arial"/>
                          <w:color w:val="000000"/>
                          <w:sz w:val="16"/>
                        </w:rPr>
                        <w:t xml:space="preserve"> </w:t>
                      </w:r>
                    </w:p>
                    <w:p w14:paraId="35C37748" w14:textId="77777777" w:rsidR="00182F3A" w:rsidRDefault="00182F3A">
                      <w:pPr>
                        <w:spacing w:after="0" w:line="240" w:lineRule="auto"/>
                        <w:textDirection w:val="btLr"/>
                      </w:pPr>
                    </w:p>
                    <w:p w14:paraId="35C37749" w14:textId="77777777" w:rsidR="00182F3A" w:rsidRDefault="00182F3A">
                      <w:pPr>
                        <w:spacing w:after="0" w:line="240" w:lineRule="auto"/>
                        <w:textDirection w:val="btLr"/>
                      </w:pPr>
                    </w:p>
                    <w:p w14:paraId="35C3774A" w14:textId="77777777" w:rsidR="00182F3A" w:rsidRDefault="00182F3A">
                      <w:pPr>
                        <w:spacing w:after="0" w:line="240" w:lineRule="auto"/>
                        <w:textDirection w:val="btLr"/>
                      </w:pPr>
                    </w:p>
                    <w:p w14:paraId="35C3774B" w14:textId="77777777" w:rsidR="00182F3A" w:rsidRDefault="009308AB">
                      <w:pPr>
                        <w:spacing w:after="0" w:line="240" w:lineRule="auto"/>
                        <w:textDirection w:val="btLr"/>
                      </w:pPr>
                      <w:r>
                        <w:rPr>
                          <w:rFonts w:ascii="Arial" w:eastAsia="Arial" w:hAnsi="Arial" w:cs="Arial"/>
                          <w:color w:val="000000"/>
                          <w:sz w:val="16"/>
                        </w:rPr>
                        <w:t xml:space="preserve">  </w:t>
                      </w:r>
                    </w:p>
                  </w:txbxContent>
                </v:textbox>
              </v:rect>
              <v:rect id="Rectangle 1182940894" o:spid="_x0000_s1030" style="position:absolute;left:5522;top:4097;width:286;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" filled="f" stroked="f">
                <v:textbox inset="7pt,3pt,7pt,3pt">
                  <w:txbxContent>
                    <w:p w14:paraId="35C3774C" w14:textId="77777777" w:rsidR="00182F3A" w:rsidRDefault="009308AB">
                      <w:pPr>
                        <w:spacing w:line="275" w:lineRule="auto"/>
                        <w:textDirection w:val="btLr"/>
                      </w:pPr>
                      <w:r>
                        <w:rPr>
                          <w:rFonts w:ascii="Arial" w:eastAsia="Arial" w:hAnsi="Arial" w:cs="Arial"/>
                          <w:color w:val="000000"/>
                          <w:sz w:val="16"/>
                        </w:rPr>
                        <w:t xml:space="preserve"> </w:t>
                      </w:r>
                    </w:p>
                  </w:txbxContent>
                </v:textbox>
              </v:rect>
              <v:rect id="Rectangle 1408605031" o:spid="_x0000_s1031" style="position:absolute;left:14971;top:4097;width:285;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" filled="f" stroked="f">
                <v:textbox inset="7pt,3pt,7pt,3pt">
                  <w:txbxContent>
                    <w:p w14:paraId="35C3774E" w14:textId="77777777" w:rsidR="00182F3A" w:rsidRDefault="009308AB">
                      <w:pPr>
                        <w:spacing w:line="275" w:lineRule="auto"/>
                        <w:textDirection w:val="btLr"/>
                      </w:pPr>
                      <w:r>
                        <w:rPr>
                          <w:rFonts w:ascii="Arial" w:eastAsia="Arial" w:hAnsi="Arial" w:cs="Arial"/>
                          <w:color w:val="000000"/>
                          <w:sz w:val="16"/>
                        </w:rPr>
                        <w:t xml:space="preserve"> </w:t>
                      </w:r>
                    </w:p>
                  </w:txbxContent>
                </v:textbox>
              </v:rect>
              <v:rect id="Rectangle 1455493828" o:spid="_x0000_s1032" style="position:absolute;left:1001;top:5252;width:285;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" filled="f" stroked="f">
                <v:textbox inset="7pt,3pt,7pt,3pt">
                  <w:txbxContent>
                    <w:p w14:paraId="35C3774F" w14:textId="77777777" w:rsidR="00182F3A" w:rsidRDefault="009308AB">
                      <w:pPr>
                        <w:spacing w:line="275" w:lineRule="auto"/>
                        <w:textDirection w:val="btLr"/>
                      </w:pPr>
                      <w:r>
                        <w:rPr>
                          <w:rFonts w:ascii="Arial" w:eastAsia="Arial" w:hAnsi="Arial" w:cs="Arial"/>
                          <w:color w:val="000000"/>
                          <w:sz w:val="16"/>
                        </w:rPr>
                        <w:t xml:space="preserve"> </w:t>
                      </w:r>
                    </w:p>
                  </w:txbxContent>
                </v:textbox>
              </v:rect>
              <v:rect id="Rectangle 1482101293" o:spid="_x0000_s1033" style="position:absolute;left:7643;top:5252;width:819;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" filled="f" stroked="f">
                <v:textbox inset="7pt,3pt,7pt,3pt">
                  <w:txbxContent>
                    <w:p w14:paraId="35C37750" w14:textId="77777777" w:rsidR="00182F3A" w:rsidRDefault="00182F3A">
                      <w:pPr>
                        <w:spacing w:line="275" w:lineRule="auto"/>
                        <w:textDirection w:val="btLr"/>
                      </w:pPr>
                    </w:p>
                  </w:txbxContent>
                </v:textbox>
              </v:rect>
              <v:rect id="Rectangle 1305216695" o:spid="_x0000_s1034" style="position:absolute;left:8075;top:6389;width:285;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" filled="f" stroked="f">
                <v:textbox inset="7pt,3pt,7pt,3pt">
                  <w:txbxContent>
                    <w:p w14:paraId="35C37752" w14:textId="77777777" w:rsidR="00182F3A" w:rsidRDefault="009308AB">
                      <w:pPr>
                        <w:spacing w:line="275" w:lineRule="auto"/>
                        <w:textDirection w:val="btLr"/>
                      </w:pPr>
                      <w:r>
                        <w:rPr>
                          <w:rFonts w:ascii="Arial" w:eastAsia="Arial" w:hAnsi="Arial" w:cs="Arial"/>
                          <w:color w:val="000000"/>
                          <w:sz w:val="16"/>
                        </w:rPr>
                        <w:t xml:space="preserve"> </w:t>
                      </w:r>
                    </w:p>
                  </w:txbxContent>
                </v:textbox>
              </v:rect>
              <v:rect id="Rectangle 178958929" o:spid="_x0000_s1035" style="position:absolute;left:13136;top:6389;width:285;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" filled="f" stroked="f">
                <v:textbox inset="7pt,3pt,7pt,3pt">
                  <w:txbxContent>
                    <w:p w14:paraId="35C37753" w14:textId="77777777" w:rsidR="00182F3A" w:rsidRDefault="009308AB">
                      <w:pPr>
                        <w:spacing w:line="275" w:lineRule="auto"/>
                        <w:textDirection w:val="btLr"/>
                      </w:pPr>
                      <w:r>
                        <w:rPr>
                          <w:rFonts w:ascii="Arial" w:eastAsia="Arial" w:hAnsi="Arial" w:cs="Arial"/>
                          <w:color w:val="000000"/>
                          <w:sz w:val="16"/>
                        </w:rPr>
                        <w:t xml:space="preserve"> </w:t>
                      </w:r>
                    </w:p>
                  </w:txbxContent>
                </v:textbox>
              </v:rect>
              <v:rect id="Rectangle 1446915047" o:spid="_x0000_s1036" style="position:absolute;left:1001;top:7564;width:32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" filled="f" stroked="f">
                <v:textbox inset="7pt,3pt,7pt,3pt">
                  <w:txbxContent>
                    <w:p w14:paraId="35C37754" w14:textId="77777777" w:rsidR="00182F3A" w:rsidRDefault="009308AB">
                      <w:pPr>
                        <w:spacing w:line="275" w:lineRule="auto"/>
                        <w:textDirection w:val="btLr"/>
                      </w:pPr>
                      <w:r>
                        <w:rPr>
                          <w:rFonts w:ascii="Times New Roman" w:eastAsia="Times New Roman" w:hAnsi="Times New Roman" w:cs="Times New Roman"/>
                          <w:color w:val="000000"/>
                          <w:sz w:val="20"/>
                        </w:rPr>
                        <w:t xml:space="preserve"> </w:t>
                      </w:r>
                    </w:p>
                  </w:txbxContent>
                </v:textbox>
              </v:rect>
              <v:rect id="Rectangle 24237572" o:spid="_x0000_s1037" style="position:absolute;left:1001;top:9005;width:32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" filled="f" stroked="f">
                <v:textbox inset="7pt,3pt,7pt,3pt">
                  <w:txbxContent>
                    <w:p w14:paraId="35C37755" w14:textId="77777777" w:rsidR="00182F3A" w:rsidRDefault="009308AB">
                      <w:pPr>
                        <w:spacing w:line="275" w:lineRule="auto"/>
                        <w:textDirection w:val="btLr"/>
                      </w:pPr>
                      <w:r>
                        <w:rPr>
                          <w:rFonts w:ascii="Times New Roman" w:eastAsia="Times New Roman" w:hAnsi="Times New Roman" w:cs="Times New Roman"/>
                          <w:color w:val="000000"/>
                          <w:sz w:val="20"/>
                        </w:rPr>
                        <w:t xml:space="preserve"> </w:t>
                      </w:r>
                    </w:p>
                  </w:txbxContent>
                </v:textbox>
              </v:rect>
            </v:group>
          </w:pict>
        </mc:Fallback>
      </mc:AlternateContent>
    </w:r>
    <w:r>
      <w:rPr>
        <w:noProof/>
      </w:rPr>
      <w:drawing>
        <wp:anchor distT="0" distB="0" distL="114300" distR="114300" simplePos="0" relativeHeight="251658242" behindDoc="0" locked="0" layoutInCell="1" hidden="0" allowOverlap="1" wp14:anchorId="35C3773A" wp14:editId="500AA897">
          <wp:simplePos x="0" y="0"/>
          <wp:positionH relativeFrom="column">
            <wp:posOffset>3528695</wp:posOffset>
          </wp:positionH>
          <wp:positionV relativeFrom="paragraph">
            <wp:posOffset>-135890</wp:posOffset>
          </wp:positionV>
          <wp:extent cx="1165225" cy="376555"/>
          <wp:effectExtent l="0" t="0" r="0" b="4445"/>
          <wp:wrapTopAndBottom/>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
                  <a:srcRect/>
                  <a:stretch>
                    <a:fillRect/>
                  </a:stretch>
                </pic:blipFill>
                <pic:spPr>
                  <a:xfrm>
                    <a:off x="0" y="0"/>
                    <a:ext cx="1165225" cy="376555"/>
                  </a:xfrm>
                  <a:prstGeom prst="rect">
                    <a:avLst/>
                  </a:prstGeom>
                  <a:ln/>
                </pic:spPr>
              </pic:pic>
            </a:graphicData>
          </a:graphic>
        </wp:anchor>
      </w:drawing>
    </w:r>
    <w:r>
      <w:rPr>
        <w:noProof/>
      </w:rPr>
      <w:drawing>
        <wp:anchor distT="0" distB="0" distL="114300" distR="114300" simplePos="0" relativeHeight="251658240" behindDoc="0" locked="0" layoutInCell="1" hidden="0" allowOverlap="1" wp14:anchorId="35C37736" wp14:editId="679EF062">
          <wp:simplePos x="0" y="0"/>
          <wp:positionH relativeFrom="column">
            <wp:posOffset>1500505</wp:posOffset>
          </wp:positionH>
          <wp:positionV relativeFrom="paragraph">
            <wp:posOffset>-196215</wp:posOffset>
          </wp:positionV>
          <wp:extent cx="1808123" cy="770245"/>
          <wp:effectExtent l="0" t="0" r="0" b="0"/>
          <wp:wrapNone/>
          <wp:docPr id="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
                  <a:srcRect/>
                  <a:stretch>
                    <a:fillRect/>
                  </a:stretch>
                </pic:blipFill>
                <pic:spPr>
                  <a:xfrm>
                    <a:off x="0" y="0"/>
                    <a:ext cx="1808123" cy="770245"/>
                  </a:xfrm>
                  <a:prstGeom prst="rect">
                    <a:avLst/>
                  </a:prstGeom>
                  <a:ln/>
                </pic:spPr>
              </pic:pic>
            </a:graphicData>
          </a:graphic>
        </wp:anchor>
      </w:drawing>
    </w:r>
    <w:r w:rsidR="00D47B0B">
      <w:rPr>
        <w:noProof/>
      </w:rPr>
      <w:drawing>
        <wp:anchor distT="114300" distB="114300" distL="114300" distR="114300" simplePos="0" relativeHeight="251658243" behindDoc="0" locked="0" layoutInCell="1" hidden="0" allowOverlap="1" wp14:anchorId="35C3773C" wp14:editId="647EDD35">
          <wp:simplePos x="0" y="0"/>
          <wp:positionH relativeFrom="margin">
            <wp:align>right</wp:align>
          </wp:positionH>
          <wp:positionV relativeFrom="paragraph">
            <wp:posOffset>-97790</wp:posOffset>
          </wp:positionV>
          <wp:extent cx="806450" cy="354871"/>
          <wp:effectExtent l="0" t="0" r="0" b="7620"/>
          <wp:wrapNone/>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
                  <a:srcRect/>
                  <a:stretch>
                    <a:fillRect/>
                  </a:stretch>
                </pic:blipFill>
                <pic:spPr>
                  <a:xfrm>
                    <a:off x="0" y="0"/>
                    <a:ext cx="806450" cy="354871"/>
                  </a:xfrm>
                  <a:prstGeom prst="rect">
                    <a:avLst/>
                  </a:prstGeom>
                  <a:ln/>
                </pic:spPr>
              </pic:pic>
            </a:graphicData>
          </a:graphic>
          <wp14:sizeRelV relativeFrom="margin">
            <wp14:pctHeight>0</wp14:pctHeight>
          </wp14:sizeRelV>
        </wp:anchor>
      </w:drawing>
    </w:r>
    <w:r>
      <w:rPr>
        <w:noProof/>
      </w:rPr>
      <w:drawing>
        <wp:anchor distT="0" distB="0" distL="114300" distR="114300" simplePos="0" relativeHeight="251658241" behindDoc="0" locked="0" layoutInCell="1" hidden="0" allowOverlap="1" wp14:anchorId="35C37738" wp14:editId="4A3DE462">
          <wp:simplePos x="0" y="0"/>
          <wp:positionH relativeFrom="column">
            <wp:posOffset>114300</wp:posOffset>
          </wp:positionH>
          <wp:positionV relativeFrom="paragraph">
            <wp:posOffset>0</wp:posOffset>
          </wp:positionV>
          <wp:extent cx="1277816" cy="413124"/>
          <wp:effectExtent l="0" t="0" r="0" b="0"/>
          <wp:wrapNone/>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
                  <a:srcRect/>
                  <a:stretch>
                    <a:fillRect/>
                  </a:stretch>
                </pic:blipFill>
                <pic:spPr>
                  <a:xfrm>
                    <a:off x="0" y="0"/>
                    <a:ext cx="1277816" cy="413124"/>
                  </a:xfrm>
                  <a:prstGeom prst="rect">
                    <a:avLst/>
                  </a:prstGeom>
                  <a:ln/>
                </pic:spPr>
              </pic:pic>
            </a:graphicData>
          </a:graphic>
        </wp:anchor>
      </w:drawing>
    </w:r>
  </w:p>
  <w:p w14:paraId="35C3772A" w14:textId="7812D553" w:rsidR="00182F3A" w:rsidRDefault="00182F3A">
    <w:pPr>
      <w:widowControl w:val="0"/>
      <w:pBdr>
        <w:top w:val="nil"/>
        <w:left w:val="nil"/>
        <w:bottom w:val="nil"/>
        <w:right w:val="nil"/>
        <w:between w:val="nil"/>
      </w:pBdr>
      <w:spacing w:after="0"/>
      <w:ind w:right="108"/>
      <w:jc w:val="both"/>
      <w:rPr>
        <w:rFonts w:ascii="Arial" w:eastAsia="Arial" w:hAnsi="Arial" w:cs="Arial"/>
        <w:color w:val="000000"/>
        <w:sz w:val="16"/>
        <w:szCs w:val="16"/>
        <w:highlight w:val="yellow"/>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C37730" w14:textId="77777777" w:rsidR="00182F3A" w:rsidRDefault="009308AB">
    <w:pPr>
      <w:pBdr>
        <w:top w:val="nil"/>
        <w:left w:val="nil"/>
        <w:bottom w:val="nil"/>
        <w:right w:val="nil"/>
        <w:between w:val="nil"/>
      </w:pBdr>
      <w:tabs>
        <w:tab w:val="center" w:pos="4536"/>
        <w:tab w:val="right" w:pos="9072"/>
        <w:tab w:val="right" w:pos="9900"/>
      </w:tabs>
      <w:spacing w:after="360"/>
      <w:rPr>
        <w:rFonts w:ascii="Times New Roman" w:eastAsia="Times New Roman" w:hAnsi="Times New Roman" w:cs="Times New Roman"/>
        <w:color w:val="000000"/>
        <w:sz w:val="24"/>
        <w:szCs w:val="24"/>
      </w:rPr>
    </w:pPr>
    <w:r>
      <w:rPr>
        <w:noProof/>
      </w:rPr>
      <w:drawing>
        <wp:anchor distT="0" distB="0" distL="114300" distR="114300" simplePos="0" relativeHeight="251658245" behindDoc="0" locked="0" layoutInCell="1" hidden="0" allowOverlap="1" wp14:anchorId="35C37740" wp14:editId="35C37741">
          <wp:simplePos x="0" y="0"/>
          <wp:positionH relativeFrom="column">
            <wp:posOffset>3044190</wp:posOffset>
          </wp:positionH>
          <wp:positionV relativeFrom="paragraph">
            <wp:posOffset>-27937</wp:posOffset>
          </wp:positionV>
          <wp:extent cx="2934970" cy="441960"/>
          <wp:effectExtent l="0" t="0" r="0" b="0"/>
          <wp:wrapNone/>
          <wp:docPr id="2" name="image3.jpg" descr="Logoangepasst"/>
          <wp:cNvGraphicFramePr/>
          <a:graphic xmlns:a="http://schemas.openxmlformats.org/drawingml/2006/main">
            <a:graphicData uri="http://schemas.openxmlformats.org/drawingml/2006/picture">
              <pic:pic xmlns:pic="http://schemas.openxmlformats.org/drawingml/2006/picture">
                <pic:nvPicPr>
                  <pic:cNvPr id="0" name="image3.jpg" descr="Logoangepasst"/>
                  <pic:cNvPicPr preferRelativeResize="0"/>
                </pic:nvPicPr>
                <pic:blipFill>
                  <a:blip r:embed="rId1"/>
                  <a:srcRect/>
                  <a:stretch>
                    <a:fillRect/>
                  </a:stretch>
                </pic:blipFill>
                <pic:spPr>
                  <a:xfrm>
                    <a:off x="0" y="0"/>
                    <a:ext cx="2934970" cy="441960"/>
                  </a:xfrm>
                  <a:prstGeom prst="rect">
                    <a:avLst/>
                  </a:prstGeom>
                  <a:ln/>
                </pic:spPr>
              </pic:pic>
            </a:graphicData>
          </a:graphic>
        </wp:anchor>
      </w:drawing>
    </w:r>
  </w:p>
  <w:p w14:paraId="35C37731" w14:textId="77777777" w:rsidR="00182F3A" w:rsidRDefault="009308AB">
    <w:pPr>
      <w:pBdr>
        <w:top w:val="nil"/>
        <w:left w:val="nil"/>
        <w:bottom w:val="nil"/>
        <w:right w:val="nil"/>
        <w:between w:val="nil"/>
      </w:pBdr>
      <w:tabs>
        <w:tab w:val="left" w:pos="360"/>
      </w:tabs>
      <w:spacing w:after="0"/>
      <w:jc w:val="both"/>
      <w:rPr>
        <w:rFonts w:ascii="Arial" w:eastAsia="Arial" w:hAnsi="Arial" w:cs="Arial"/>
        <w:b/>
        <w:bCs/>
        <w:color w:val="000000"/>
        <w:sz w:val="20"/>
        <w:szCs w:val="20"/>
      </w:rPr>
    </w:pPr>
    <w:r>
      <w:rPr>
        <w:rFonts w:ascii="Arial" w:eastAsia="Arial" w:hAnsi="Arial" w:cs="Arial"/>
        <w:b/>
        <w:bCs/>
        <w:color w:val="000000"/>
        <w:sz w:val="20"/>
        <w:szCs w:val="20"/>
      </w:rPr>
      <w:t xml:space="preserve">Offenes Verfahren SC4 </w:t>
    </w:r>
    <w:proofErr w:type="spellStart"/>
    <w:r>
      <w:rPr>
        <w:rFonts w:ascii="Arial" w:eastAsia="Arial" w:hAnsi="Arial" w:cs="Arial"/>
        <w:b/>
        <w:bCs/>
        <w:color w:val="000000"/>
        <w:sz w:val="20"/>
        <w:szCs w:val="20"/>
      </w:rPr>
      <w:t>VuW</w:t>
    </w:r>
    <w:proofErr w:type="spellEnd"/>
    <w:r>
      <w:rPr>
        <w:rFonts w:ascii="Arial" w:eastAsia="Arial" w:hAnsi="Arial" w:cs="Arial"/>
        <w:b/>
        <w:bCs/>
        <w:color w:val="000000"/>
        <w:sz w:val="20"/>
        <w:szCs w:val="20"/>
      </w:rPr>
      <w:t xml:space="preserve"> 0019 2018 03 Verfahrensbedingungen</w:t>
    </w:r>
  </w:p>
  <w:p w14:paraId="35C37732" w14:textId="77777777" w:rsidR="00182F3A" w:rsidRDefault="009308AB">
    <w:pPr>
      <w:pBdr>
        <w:top w:val="nil"/>
        <w:left w:val="nil"/>
        <w:bottom w:val="nil"/>
        <w:right w:val="nil"/>
        <w:between w:val="nil"/>
      </w:pBdr>
      <w:tabs>
        <w:tab w:val="left" w:pos="360"/>
      </w:tabs>
      <w:spacing w:after="0"/>
      <w:jc w:val="both"/>
      <w:rPr>
        <w:rFonts w:ascii="Arial" w:eastAsia="Arial" w:hAnsi="Arial" w:cs="Arial"/>
        <w:color w:val="000000"/>
      </w:rPr>
    </w:pPr>
    <w:r>
      <w:rPr>
        <w:rFonts w:ascii="Arial" w:eastAsia="Arial" w:hAnsi="Arial" w:cs="Arial"/>
        <w:b/>
        <w:bCs/>
        <w:color w:val="000000"/>
        <w:sz w:val="20"/>
        <w:szCs w:val="20"/>
      </w:rPr>
      <w:t>Beschaffung von Speisetransportwagen und Systemgeschirr</w:t>
    </w:r>
  </w:p>
  <w:p w14:paraId="35C37733" w14:textId="77777777" w:rsidR="00182F3A" w:rsidRDefault="00182F3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D97281"/>
    <w:multiLevelType w:val="multilevel"/>
    <w:tmpl w:val="098ECA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96066A5"/>
    <w:multiLevelType w:val="multilevel"/>
    <w:tmpl w:val="073E336A"/>
    <w:lvl w:ilvl="0">
      <w:start w:val="1"/>
      <w:numFmt w:val="lowerLetter"/>
      <w:lvlText w:val="%1."/>
      <w:lvlJc w:val="left"/>
      <w:pPr>
        <w:ind w:left="1070" w:hanging="360"/>
      </w:pPr>
      <w:rPr>
        <w:b/>
        <w:bCs/>
        <w:sz w:val="20"/>
        <w:szCs w:val="20"/>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2" w15:restartNumberingAfterBreak="0">
    <w:nsid w:val="0AE64731"/>
    <w:multiLevelType w:val="multilevel"/>
    <w:tmpl w:val="C38A0E8E"/>
    <w:lvl w:ilvl="0">
      <w:start w:val="1"/>
      <w:numFmt w:val="lowerLetter"/>
      <w:lvlText w:val="%1."/>
      <w:lvlJc w:val="left"/>
      <w:pPr>
        <w:ind w:left="927" w:hanging="360"/>
      </w:pPr>
      <w:rPr>
        <w:sz w:val="20"/>
        <w:szCs w:val="20"/>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 w15:restartNumberingAfterBreak="0">
    <w:nsid w:val="26AB3581"/>
    <w:multiLevelType w:val="multilevel"/>
    <w:tmpl w:val="A414FD46"/>
    <w:lvl w:ilvl="0">
      <w:start w:val="1"/>
      <w:numFmt w:val="bullet"/>
      <w:lvlText w:val="●"/>
      <w:lvlJc w:val="left"/>
      <w:pPr>
        <w:ind w:left="-12" w:hanging="360"/>
      </w:pPr>
      <w:rPr>
        <w:rFonts w:ascii="Noto Sans Symbols" w:eastAsia="Noto Sans Symbols" w:hAnsi="Noto Sans Symbols" w:cs="Noto Sans Symbols"/>
      </w:rPr>
    </w:lvl>
    <w:lvl w:ilvl="1">
      <w:start w:val="1"/>
      <w:numFmt w:val="bullet"/>
      <w:lvlText w:val="o"/>
      <w:lvlJc w:val="left"/>
      <w:pPr>
        <w:ind w:left="708" w:hanging="360"/>
      </w:pPr>
      <w:rPr>
        <w:rFonts w:ascii="Courier New" w:eastAsia="Courier New" w:hAnsi="Courier New" w:cs="Courier New"/>
      </w:rPr>
    </w:lvl>
    <w:lvl w:ilvl="2">
      <w:start w:val="1"/>
      <w:numFmt w:val="bullet"/>
      <w:lvlText w:val="−"/>
      <w:lvlJc w:val="left"/>
      <w:pPr>
        <w:ind w:left="1428" w:hanging="360"/>
      </w:pPr>
      <w:rPr>
        <w:rFonts w:ascii="Noto Sans Symbols" w:eastAsia="Noto Sans Symbols" w:hAnsi="Noto Sans Symbols" w:cs="Noto Sans Symbols"/>
      </w:rPr>
    </w:lvl>
    <w:lvl w:ilvl="3">
      <w:start w:val="1"/>
      <w:numFmt w:val="bullet"/>
      <w:lvlText w:val="●"/>
      <w:lvlJc w:val="left"/>
      <w:pPr>
        <w:ind w:left="2148" w:hanging="360"/>
      </w:pPr>
      <w:rPr>
        <w:rFonts w:ascii="Noto Sans Symbols" w:eastAsia="Noto Sans Symbols" w:hAnsi="Noto Sans Symbols" w:cs="Noto Sans Symbols"/>
      </w:rPr>
    </w:lvl>
    <w:lvl w:ilvl="4">
      <w:start w:val="1"/>
      <w:numFmt w:val="bullet"/>
      <w:lvlText w:val="o"/>
      <w:lvlJc w:val="left"/>
      <w:pPr>
        <w:ind w:left="2868" w:hanging="360"/>
      </w:pPr>
      <w:rPr>
        <w:rFonts w:ascii="Courier New" w:eastAsia="Courier New" w:hAnsi="Courier New" w:cs="Courier New"/>
      </w:rPr>
    </w:lvl>
    <w:lvl w:ilvl="5">
      <w:start w:val="1"/>
      <w:numFmt w:val="bullet"/>
      <w:lvlText w:val="▪"/>
      <w:lvlJc w:val="left"/>
      <w:pPr>
        <w:ind w:left="3588" w:hanging="360"/>
      </w:pPr>
      <w:rPr>
        <w:rFonts w:ascii="Noto Sans Symbols" w:eastAsia="Noto Sans Symbols" w:hAnsi="Noto Sans Symbols" w:cs="Noto Sans Symbols"/>
      </w:rPr>
    </w:lvl>
    <w:lvl w:ilvl="6">
      <w:start w:val="1"/>
      <w:numFmt w:val="bullet"/>
      <w:lvlText w:val="●"/>
      <w:lvlJc w:val="left"/>
      <w:pPr>
        <w:ind w:left="4308" w:hanging="360"/>
      </w:pPr>
      <w:rPr>
        <w:rFonts w:ascii="Noto Sans Symbols" w:eastAsia="Noto Sans Symbols" w:hAnsi="Noto Sans Symbols" w:cs="Noto Sans Symbols"/>
      </w:rPr>
    </w:lvl>
    <w:lvl w:ilvl="7">
      <w:start w:val="1"/>
      <w:numFmt w:val="bullet"/>
      <w:lvlText w:val="o"/>
      <w:lvlJc w:val="left"/>
      <w:pPr>
        <w:ind w:left="5028" w:hanging="360"/>
      </w:pPr>
      <w:rPr>
        <w:rFonts w:ascii="Courier New" w:eastAsia="Courier New" w:hAnsi="Courier New" w:cs="Courier New"/>
      </w:rPr>
    </w:lvl>
    <w:lvl w:ilvl="8">
      <w:start w:val="1"/>
      <w:numFmt w:val="bullet"/>
      <w:lvlText w:val="▪"/>
      <w:lvlJc w:val="left"/>
      <w:pPr>
        <w:ind w:left="5748" w:hanging="360"/>
      </w:pPr>
      <w:rPr>
        <w:rFonts w:ascii="Noto Sans Symbols" w:eastAsia="Noto Sans Symbols" w:hAnsi="Noto Sans Symbols" w:cs="Noto Sans Symbols"/>
      </w:rPr>
    </w:lvl>
  </w:abstractNum>
  <w:abstractNum w:abstractNumId="4" w15:restartNumberingAfterBreak="0">
    <w:nsid w:val="27DD087B"/>
    <w:multiLevelType w:val="multilevel"/>
    <w:tmpl w:val="2854A8EE"/>
    <w:lvl w:ilvl="0">
      <w:start w:val="1"/>
      <w:numFmt w:val="decimal"/>
      <w:lvlText w:val="%1."/>
      <w:lvlJc w:val="left"/>
      <w:pPr>
        <w:ind w:left="567" w:hanging="567"/>
      </w:pPr>
    </w:lvl>
    <w:lvl w:ilvl="1">
      <w:start w:val="1"/>
      <w:numFmt w:val="lowerLetter"/>
      <w:lvlText w:val="%2."/>
      <w:lvlJc w:val="left"/>
      <w:pPr>
        <w:ind w:left="1701" w:hanging="567"/>
      </w:pPr>
      <w:rPr>
        <w:b/>
        <w:bCs/>
        <w:sz w:val="20"/>
        <w:szCs w:val="20"/>
      </w:rPr>
    </w:lvl>
    <w:lvl w:ilvl="2">
      <w:start w:val="1"/>
      <w:numFmt w:val="lowerRoman"/>
      <w:lvlText w:val="%3."/>
      <w:lvlJc w:val="right"/>
      <w:pPr>
        <w:ind w:left="2835" w:hanging="567"/>
      </w:pPr>
    </w:lvl>
    <w:lvl w:ilvl="3">
      <w:start w:val="1"/>
      <w:numFmt w:val="decimal"/>
      <w:lvlText w:val="%4."/>
      <w:lvlJc w:val="left"/>
      <w:pPr>
        <w:ind w:left="3969" w:hanging="567"/>
      </w:pPr>
    </w:lvl>
    <w:lvl w:ilvl="4">
      <w:start w:val="1"/>
      <w:numFmt w:val="lowerLetter"/>
      <w:lvlText w:val="%5."/>
      <w:lvlJc w:val="left"/>
      <w:pPr>
        <w:ind w:left="5103" w:hanging="567"/>
      </w:pPr>
    </w:lvl>
    <w:lvl w:ilvl="5">
      <w:start w:val="1"/>
      <w:numFmt w:val="lowerRoman"/>
      <w:lvlText w:val="%6."/>
      <w:lvlJc w:val="right"/>
      <w:pPr>
        <w:ind w:left="6237" w:hanging="567"/>
      </w:pPr>
    </w:lvl>
    <w:lvl w:ilvl="6">
      <w:start w:val="1"/>
      <w:numFmt w:val="decimal"/>
      <w:lvlText w:val="%7."/>
      <w:lvlJc w:val="left"/>
      <w:pPr>
        <w:ind w:left="7371" w:hanging="567"/>
      </w:pPr>
    </w:lvl>
    <w:lvl w:ilvl="7">
      <w:start w:val="1"/>
      <w:numFmt w:val="lowerLetter"/>
      <w:lvlText w:val="%8."/>
      <w:lvlJc w:val="left"/>
      <w:pPr>
        <w:ind w:left="8505" w:hanging="567"/>
      </w:pPr>
    </w:lvl>
    <w:lvl w:ilvl="8">
      <w:start w:val="1"/>
      <w:numFmt w:val="lowerRoman"/>
      <w:lvlText w:val="%9."/>
      <w:lvlJc w:val="right"/>
      <w:pPr>
        <w:ind w:left="9639" w:hanging="567"/>
      </w:pPr>
    </w:lvl>
  </w:abstractNum>
  <w:abstractNum w:abstractNumId="5" w15:restartNumberingAfterBreak="0">
    <w:nsid w:val="41AE022B"/>
    <w:multiLevelType w:val="multilevel"/>
    <w:tmpl w:val="B2FAB124"/>
    <w:lvl w:ilvl="0">
      <w:start w:val="1"/>
      <w:numFmt w:val="bullet"/>
      <w:lvlText w:val="●"/>
      <w:lvlJc w:val="left"/>
      <w:pPr>
        <w:ind w:left="1287" w:hanging="360"/>
      </w:pPr>
      <w:rPr>
        <w:rFonts w:ascii="Noto Sans Symbols" w:eastAsia="Noto Sans Symbols" w:hAnsi="Noto Sans Symbols" w:cs="Noto Sans Symbols"/>
      </w:rPr>
    </w:lvl>
    <w:lvl w:ilvl="1">
      <w:numFmt w:val="bullet"/>
      <w:lvlText w:val="•"/>
      <w:lvlJc w:val="left"/>
      <w:pPr>
        <w:ind w:left="2007" w:hanging="360"/>
      </w:pPr>
      <w:rPr>
        <w:rFonts w:ascii="Arial" w:eastAsia="Arial" w:hAnsi="Arial" w:cs="Arial"/>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6" w15:restartNumberingAfterBreak="0">
    <w:nsid w:val="5B807D83"/>
    <w:multiLevelType w:val="multilevel"/>
    <w:tmpl w:val="AA2E31FE"/>
    <w:lvl w:ilvl="0">
      <w:start w:val="1"/>
      <w:numFmt w:val="decimal"/>
      <w:lvlText w:val="%1."/>
      <w:lvlJc w:val="left"/>
      <w:pPr>
        <w:ind w:left="1778" w:hanging="360"/>
      </w:pPr>
    </w:lvl>
    <w:lvl w:ilvl="1">
      <w:start w:val="1"/>
      <w:numFmt w:val="bullet"/>
      <w:lvlText w:val="o"/>
      <w:lvlJc w:val="left"/>
      <w:pPr>
        <w:ind w:left="2498" w:hanging="360"/>
      </w:pPr>
      <w:rPr>
        <w:rFonts w:ascii="Courier New" w:eastAsia="Courier New" w:hAnsi="Courier New" w:cs="Courier New"/>
      </w:rPr>
    </w:lvl>
    <w:lvl w:ilvl="2">
      <w:start w:val="1"/>
      <w:numFmt w:val="bullet"/>
      <w:lvlText w:val="▪"/>
      <w:lvlJc w:val="left"/>
      <w:pPr>
        <w:ind w:left="3218" w:hanging="360"/>
      </w:pPr>
      <w:rPr>
        <w:rFonts w:ascii="Noto Sans Symbols" w:eastAsia="Noto Sans Symbols" w:hAnsi="Noto Sans Symbols" w:cs="Noto Sans Symbols"/>
      </w:rPr>
    </w:lvl>
    <w:lvl w:ilvl="3">
      <w:start w:val="1"/>
      <w:numFmt w:val="bullet"/>
      <w:lvlText w:val="●"/>
      <w:lvlJc w:val="left"/>
      <w:pPr>
        <w:ind w:left="3938" w:hanging="360"/>
      </w:pPr>
      <w:rPr>
        <w:rFonts w:ascii="Noto Sans Symbols" w:eastAsia="Noto Sans Symbols" w:hAnsi="Noto Sans Symbols" w:cs="Noto Sans Symbols"/>
      </w:rPr>
    </w:lvl>
    <w:lvl w:ilvl="4">
      <w:start w:val="1"/>
      <w:numFmt w:val="bullet"/>
      <w:lvlText w:val="o"/>
      <w:lvlJc w:val="left"/>
      <w:pPr>
        <w:ind w:left="4658" w:hanging="360"/>
      </w:pPr>
      <w:rPr>
        <w:rFonts w:ascii="Courier New" w:eastAsia="Courier New" w:hAnsi="Courier New" w:cs="Courier New"/>
      </w:rPr>
    </w:lvl>
    <w:lvl w:ilvl="5">
      <w:start w:val="1"/>
      <w:numFmt w:val="bullet"/>
      <w:lvlText w:val="▪"/>
      <w:lvlJc w:val="left"/>
      <w:pPr>
        <w:ind w:left="5378" w:hanging="360"/>
      </w:pPr>
      <w:rPr>
        <w:rFonts w:ascii="Noto Sans Symbols" w:eastAsia="Noto Sans Symbols" w:hAnsi="Noto Sans Symbols" w:cs="Noto Sans Symbols"/>
      </w:rPr>
    </w:lvl>
    <w:lvl w:ilvl="6">
      <w:start w:val="1"/>
      <w:numFmt w:val="bullet"/>
      <w:lvlText w:val="●"/>
      <w:lvlJc w:val="left"/>
      <w:pPr>
        <w:ind w:left="6098" w:hanging="360"/>
      </w:pPr>
      <w:rPr>
        <w:rFonts w:ascii="Noto Sans Symbols" w:eastAsia="Noto Sans Symbols" w:hAnsi="Noto Sans Symbols" w:cs="Noto Sans Symbols"/>
      </w:rPr>
    </w:lvl>
    <w:lvl w:ilvl="7">
      <w:start w:val="1"/>
      <w:numFmt w:val="bullet"/>
      <w:lvlText w:val="o"/>
      <w:lvlJc w:val="left"/>
      <w:pPr>
        <w:ind w:left="6818" w:hanging="360"/>
      </w:pPr>
      <w:rPr>
        <w:rFonts w:ascii="Courier New" w:eastAsia="Courier New" w:hAnsi="Courier New" w:cs="Courier New"/>
      </w:rPr>
    </w:lvl>
    <w:lvl w:ilvl="8">
      <w:start w:val="1"/>
      <w:numFmt w:val="bullet"/>
      <w:lvlText w:val="▪"/>
      <w:lvlJc w:val="left"/>
      <w:pPr>
        <w:ind w:left="7538" w:hanging="360"/>
      </w:pPr>
      <w:rPr>
        <w:rFonts w:ascii="Noto Sans Symbols" w:eastAsia="Noto Sans Symbols" w:hAnsi="Noto Sans Symbols" w:cs="Noto Sans Symbols"/>
      </w:rPr>
    </w:lvl>
  </w:abstractNum>
  <w:abstractNum w:abstractNumId="7" w15:restartNumberingAfterBreak="0">
    <w:nsid w:val="6E144AF7"/>
    <w:multiLevelType w:val="multilevel"/>
    <w:tmpl w:val="6624F66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837068975">
    <w:abstractNumId w:val="3"/>
  </w:num>
  <w:num w:numId="2" w16cid:durableId="1784570770">
    <w:abstractNumId w:val="2"/>
  </w:num>
  <w:num w:numId="3" w16cid:durableId="42753745">
    <w:abstractNumId w:val="0"/>
  </w:num>
  <w:num w:numId="4" w16cid:durableId="788160341">
    <w:abstractNumId w:val="7"/>
  </w:num>
  <w:num w:numId="5" w16cid:durableId="1133324588">
    <w:abstractNumId w:val="4"/>
  </w:num>
  <w:num w:numId="6" w16cid:durableId="477501049">
    <w:abstractNumId w:val="1"/>
  </w:num>
  <w:num w:numId="7" w16cid:durableId="912860509">
    <w:abstractNumId w:val="6"/>
  </w:num>
  <w:num w:numId="8" w16cid:durableId="60342169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ocumentProtection w:edit="readOnly" w:enforcement="1" w:cryptProviderType="rsaAES" w:cryptAlgorithmClass="hash" w:cryptAlgorithmType="typeAny" w:cryptAlgorithmSid="14" w:cryptSpinCount="100000" w:hash="3vsVOiLuQwdw16m2o+yCxgzjSAhx2wRYtT5EzHztpYIXEcdqUDy3v+wDGLsJ/+nQkSUf7ZcdxDvyWB5ihjkzdg==" w:salt="tQhlIozW452ks8pKJMc4mA=="/>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2F3A"/>
    <w:rsid w:val="00017524"/>
    <w:rsid w:val="000638FF"/>
    <w:rsid w:val="00090728"/>
    <w:rsid w:val="000B6DD8"/>
    <w:rsid w:val="000C62C5"/>
    <w:rsid w:val="0017581F"/>
    <w:rsid w:val="00182F3A"/>
    <w:rsid w:val="001E4E4F"/>
    <w:rsid w:val="001E5BB2"/>
    <w:rsid w:val="001F66BD"/>
    <w:rsid w:val="00225152"/>
    <w:rsid w:val="00290924"/>
    <w:rsid w:val="002D756D"/>
    <w:rsid w:val="002F6114"/>
    <w:rsid w:val="003456BD"/>
    <w:rsid w:val="003A2445"/>
    <w:rsid w:val="003E60E2"/>
    <w:rsid w:val="0044448A"/>
    <w:rsid w:val="00483009"/>
    <w:rsid w:val="00497C1E"/>
    <w:rsid w:val="004F367E"/>
    <w:rsid w:val="00501D73"/>
    <w:rsid w:val="00557291"/>
    <w:rsid w:val="00570BA7"/>
    <w:rsid w:val="00587F02"/>
    <w:rsid w:val="005A6859"/>
    <w:rsid w:val="005D7B2D"/>
    <w:rsid w:val="00614EBB"/>
    <w:rsid w:val="00661D13"/>
    <w:rsid w:val="00663136"/>
    <w:rsid w:val="006E2261"/>
    <w:rsid w:val="0071286E"/>
    <w:rsid w:val="0072135F"/>
    <w:rsid w:val="00730E10"/>
    <w:rsid w:val="007A0474"/>
    <w:rsid w:val="007C548C"/>
    <w:rsid w:val="0085059E"/>
    <w:rsid w:val="008A4BBB"/>
    <w:rsid w:val="008F21EF"/>
    <w:rsid w:val="009308AB"/>
    <w:rsid w:val="00A2279F"/>
    <w:rsid w:val="00A63A39"/>
    <w:rsid w:val="00A91F78"/>
    <w:rsid w:val="00AC0FC5"/>
    <w:rsid w:val="00AE4EEA"/>
    <w:rsid w:val="00B936F5"/>
    <w:rsid w:val="00C94BB6"/>
    <w:rsid w:val="00CD713F"/>
    <w:rsid w:val="00D43BC8"/>
    <w:rsid w:val="00D47B0B"/>
    <w:rsid w:val="00D67B34"/>
    <w:rsid w:val="00D82ADE"/>
    <w:rsid w:val="00DC0A46"/>
    <w:rsid w:val="00DC5056"/>
    <w:rsid w:val="00DE3339"/>
    <w:rsid w:val="00E70EED"/>
    <w:rsid w:val="00E87CDF"/>
    <w:rsid w:val="00EA47C8"/>
    <w:rsid w:val="00F11664"/>
    <w:rsid w:val="00F24661"/>
    <w:rsid w:val="00F24D18"/>
    <w:rsid w:val="00F41931"/>
    <w:rsid w:val="00FB5AE1"/>
    <w:rsid w:val="00FB7F36"/>
    <w:rsid w:val="00FE25E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C376AA"/>
  <w15:docId w15:val="{9D9FACE2-73C9-424F-A732-0EFA7DC2D8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de" w:eastAsia="de-D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40"/>
      <w:outlineLvl w:val="0"/>
    </w:pPr>
    <w:rPr>
      <w:rFonts w:ascii="Arial" w:eastAsia="Arial" w:hAnsi="Arial" w:cs="Arial"/>
      <w:b/>
      <w:bCs/>
      <w:sz w:val="32"/>
      <w:szCs w:val="32"/>
    </w:rPr>
  </w:style>
  <w:style w:type="paragraph" w:styleId="Heading2">
    <w:name w:val="heading 2"/>
    <w:basedOn w:val="Normal"/>
    <w:next w:val="Normal"/>
    <w:uiPriority w:val="9"/>
    <w:unhideWhenUsed/>
    <w:qFormat/>
    <w:pPr>
      <w:spacing w:before="240" w:after="120"/>
      <w:ind w:left="454" w:hanging="454"/>
      <w:outlineLvl w:val="1"/>
    </w:pPr>
    <w:rPr>
      <w:rFonts w:ascii="Arial" w:eastAsia="Arial" w:hAnsi="Arial" w:cs="Arial"/>
      <w:b/>
      <w:bCs/>
      <w:u w:val="single"/>
    </w:rPr>
  </w:style>
  <w:style w:type="paragraph" w:styleId="Heading3">
    <w:name w:val="heading 3"/>
    <w:basedOn w:val="Normal"/>
    <w:next w:val="Normal"/>
    <w:uiPriority w:val="9"/>
    <w:semiHidden/>
    <w:unhideWhenUsed/>
    <w:qFormat/>
    <w:pPr>
      <w:keepNext/>
      <w:spacing w:before="240" w:after="60"/>
      <w:outlineLvl w:val="2"/>
    </w:pPr>
    <w:rPr>
      <w:rFonts w:ascii="Cambria" w:eastAsia="Cambria" w:hAnsi="Cambria" w:cs="Cambria"/>
      <w:b/>
      <w:bCs/>
      <w:sz w:val="26"/>
      <w:szCs w:val="26"/>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70" w:type="dxa"/>
        <w:bottom w:w="0" w:type="dxa"/>
        <w:right w:w="70" w:type="dxa"/>
      </w:tblCellMar>
    </w:tblPr>
  </w:style>
  <w:style w:type="character" w:styleId="CommentReference">
    <w:name w:val="annotation reference"/>
    <w:basedOn w:val="DefaultParagraphFont"/>
    <w:uiPriority w:val="99"/>
    <w:semiHidden/>
    <w:unhideWhenUsed/>
    <w:rsid w:val="005A6859"/>
    <w:rPr>
      <w:sz w:val="16"/>
      <w:szCs w:val="16"/>
    </w:rPr>
  </w:style>
  <w:style w:type="paragraph" w:styleId="CommentText">
    <w:name w:val="annotation text"/>
    <w:basedOn w:val="Normal"/>
    <w:link w:val="CommentTextChar"/>
    <w:uiPriority w:val="99"/>
    <w:unhideWhenUsed/>
    <w:rsid w:val="005A6859"/>
    <w:pPr>
      <w:spacing w:line="240" w:lineRule="auto"/>
    </w:pPr>
    <w:rPr>
      <w:sz w:val="20"/>
      <w:szCs w:val="20"/>
    </w:rPr>
  </w:style>
  <w:style w:type="character" w:customStyle="1" w:styleId="CommentTextChar">
    <w:name w:val="Comment Text Char"/>
    <w:basedOn w:val="DefaultParagraphFont"/>
    <w:link w:val="CommentText"/>
    <w:uiPriority w:val="99"/>
    <w:rsid w:val="005A6859"/>
    <w:rPr>
      <w:sz w:val="20"/>
      <w:szCs w:val="20"/>
    </w:rPr>
  </w:style>
  <w:style w:type="paragraph" w:styleId="CommentSubject">
    <w:name w:val="annotation subject"/>
    <w:basedOn w:val="CommentText"/>
    <w:next w:val="CommentText"/>
    <w:link w:val="CommentSubjectChar"/>
    <w:uiPriority w:val="99"/>
    <w:semiHidden/>
    <w:unhideWhenUsed/>
    <w:rsid w:val="005A6859"/>
    <w:rPr>
      <w:b/>
      <w:bCs/>
    </w:rPr>
  </w:style>
  <w:style w:type="character" w:customStyle="1" w:styleId="CommentSubjectChar">
    <w:name w:val="Comment Subject Char"/>
    <w:basedOn w:val="CommentTextChar"/>
    <w:link w:val="CommentSubject"/>
    <w:uiPriority w:val="99"/>
    <w:semiHidden/>
    <w:rsid w:val="005A6859"/>
    <w:rPr>
      <w:b/>
      <w:bCs/>
      <w:sz w:val="20"/>
      <w:szCs w:val="20"/>
    </w:rPr>
  </w:style>
  <w:style w:type="character" w:styleId="Mention">
    <w:name w:val="Mention"/>
    <w:basedOn w:val="DefaultParagraphFont"/>
    <w:uiPriority w:val="99"/>
    <w:unhideWhenUsed/>
    <w:rsid w:val="005A6859"/>
    <w:rPr>
      <w:color w:val="2B579A"/>
      <w:shd w:val="clear" w:color="auto" w:fill="E1DFDD"/>
    </w:rPr>
  </w:style>
  <w:style w:type="paragraph" w:styleId="Header">
    <w:name w:val="header"/>
    <w:basedOn w:val="Normal"/>
    <w:link w:val="HeaderChar"/>
    <w:uiPriority w:val="99"/>
    <w:semiHidden/>
    <w:unhideWhenUsed/>
    <w:rsid w:val="000638FF"/>
    <w:pPr>
      <w:tabs>
        <w:tab w:val="center" w:pos="4536"/>
        <w:tab w:val="right" w:pos="9072"/>
      </w:tabs>
      <w:spacing w:after="0" w:line="240" w:lineRule="auto"/>
    </w:pPr>
  </w:style>
  <w:style w:type="character" w:customStyle="1" w:styleId="HeaderChar">
    <w:name w:val="Header Char"/>
    <w:basedOn w:val="DefaultParagraphFont"/>
    <w:link w:val="Header"/>
    <w:uiPriority w:val="99"/>
    <w:semiHidden/>
    <w:rsid w:val="000638FF"/>
  </w:style>
  <w:style w:type="paragraph" w:styleId="Footer">
    <w:name w:val="footer"/>
    <w:basedOn w:val="Normal"/>
    <w:link w:val="FooterChar"/>
    <w:uiPriority w:val="99"/>
    <w:semiHidden/>
    <w:unhideWhenUsed/>
    <w:rsid w:val="000638FF"/>
    <w:pPr>
      <w:tabs>
        <w:tab w:val="center" w:pos="4536"/>
        <w:tab w:val="right" w:pos="9072"/>
      </w:tabs>
      <w:spacing w:after="0" w:line="240" w:lineRule="auto"/>
    </w:pPr>
  </w:style>
  <w:style w:type="character" w:customStyle="1" w:styleId="FooterChar">
    <w:name w:val="Footer Char"/>
    <w:basedOn w:val="DefaultParagraphFont"/>
    <w:link w:val="Footer"/>
    <w:uiPriority w:val="99"/>
    <w:semiHidden/>
    <w:rsid w:val="000638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CGuktHQXCl0SnCz71KM08nBYxA==">CgMxLjAyCWlkLmdqZGd4czIJaC4zMGowemxsMgloLjJldDkycDAyCWguMXQzaDVzZjIOaC54ampsbzljbWYzeGwyDmguajkweTFvOTk4NmxpMg5oLmNqanQxa2x4bnZ0dDIJaC40ZDM0b2c4Mg9pZC50YXhqazR6ZjdsNGQyDmgucGtkZ2kyamVkMTVwMgloLjJzOGV5bzE4AHIhMTR5N3UyempjZVhtYmxkdFVrSG9ndUJVYW1OeDFOVVh5</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18CA35C74DB534BBA1BD7928F3731CC" ma:contentTypeVersion="16" ma:contentTypeDescription="Create a new document." ma:contentTypeScope="" ma:versionID="b627d15cbe660f6e41279ff2952d41b2">
  <xsd:schema xmlns:xsd="http://www.w3.org/2001/XMLSchema" xmlns:xs="http://www.w3.org/2001/XMLSchema" xmlns:p="http://schemas.microsoft.com/office/2006/metadata/properties" xmlns:ns2="4e50f4e5-4943-4209-9bbc-c320ac5683d9" xmlns:ns3="c6df0b80-3914-4bd2-9e9d-f508f030af51" targetNamespace="http://schemas.microsoft.com/office/2006/metadata/properties" ma:root="true" ma:fieldsID="066145dbe6cddaf9fb2cdf992b6aaec4" ns2:_="" ns3:_="">
    <xsd:import namespace="4e50f4e5-4943-4209-9bbc-c320ac5683d9"/>
    <xsd:import namespace="c6df0b80-3914-4bd2-9e9d-f508f030af5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50f4e5-4943-4209-9bbc-c320ac5683d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47bde53e-b0a2-4e98-8550-8a152603f3a2"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6df0b80-3914-4bd2-9e9d-f508f030af5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60b710d3-7ad8-4b8b-a871-1f7c369c7f1c}" ma:internalName="TaxCatchAll" ma:showField="CatchAllData" ma:web="c6df0b80-3914-4bd2-9e9d-f508f030af51">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e50f4e5-4943-4209-9bbc-c320ac5683d9">
      <Terms xmlns="http://schemas.microsoft.com/office/infopath/2007/PartnerControls"/>
    </lcf76f155ced4ddcb4097134ff3c332f>
    <TaxCatchAll xmlns="c6df0b80-3914-4bd2-9e9d-f508f030af51"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0BAAD16-E9FD-4287-8087-34F7367321DB}">
  <ds:schemaRefs>
    <ds:schemaRef ds:uri="http://schemas.microsoft.com/sharepoint/v3/contenttype/forms"/>
  </ds:schemaRefs>
</ds:datastoreItem>
</file>

<file path=customXml/itemProps3.xml><?xml version="1.0" encoding="utf-8"?>
<ds:datastoreItem xmlns:ds="http://schemas.openxmlformats.org/officeDocument/2006/customXml" ds:itemID="{49077429-E759-4160-8902-7CE770DE6C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e50f4e5-4943-4209-9bbc-c320ac5683d9"/>
    <ds:schemaRef ds:uri="c6df0b80-3914-4bd2-9e9d-f508f030af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2AEC8C7-4419-4786-B7ED-E43F17D67611}">
  <ds:schemaRefs>
    <ds:schemaRef ds:uri="http://schemas.microsoft.com/office/2006/metadata/properties"/>
    <ds:schemaRef ds:uri="http://schemas.microsoft.com/office/infopath/2007/PartnerControls"/>
    <ds:schemaRef ds:uri="4e50f4e5-4943-4209-9bbc-c320ac5683d9"/>
    <ds:schemaRef ds:uri="c6df0b80-3914-4bd2-9e9d-f508f030af51"/>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2660</Words>
  <Characters>15168</Characters>
  <Application>Microsoft Office Word</Application>
  <DocSecurity>12</DocSecurity>
  <Lines>126</Lines>
  <Paragraphs>35</Paragraphs>
  <ScaleCrop>false</ScaleCrop>
  <Company/>
  <LinksUpToDate>false</LinksUpToDate>
  <CharactersWithSpaces>17793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Kanzlei</dc:creator>
  <cp:keywords/>
  <cp:lastModifiedBy>Hanna Fuhrmann (DE)</cp:lastModifiedBy>
  <cp:revision>22</cp:revision>
  <dcterms:created xsi:type="dcterms:W3CDTF">2026-08-07T08:20:00Z</dcterms:created>
  <dcterms:modified xsi:type="dcterms:W3CDTF">2026-08-10T08:52:00Z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0x010100A18CA35C74DB534BBA1BD7928F3731CC</vt:lpwstr>
  </property>
  <property fmtid="{D5CDD505-2E9C-101B-9397-08002B2CF9AE}" pid="3" name="Order">
    <vt:lpwstr>9100</vt:lpwstr>
  </property>
  <property fmtid="{D5CDD505-2E9C-101B-9397-08002B2CF9AE}" pid="4" name="_dlc_DocIdItemGuid">
    <vt:lpwstr>4e96a03a-bab2-49d8-b0cf-5b85a2111ccb</vt:lpwstr>
  </property>
  <property fmtid="{D5CDD505-2E9C-101B-9397-08002B2CF9AE}" pid="5" name="MediaServiceImageTags">
    <vt:lpwstr>MediaServiceImageTags</vt:lpwstr>
  </property>
  <property fmtid="{D5CDD505-2E9C-101B-9397-08002B2CF9AE}" pid="6" name="docLang">
    <vt:lpwstr>de</vt:lpwstr>
  </property>
</Properties>
</file>