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4D3F" w14:textId="77777777" w:rsidR="0018345E" w:rsidRDefault="0018345E" w:rsidP="0018345E">
      <w:pPr>
        <w:spacing w:before="144"/>
        <w:ind w:right="138"/>
        <w:jc w:val="right"/>
        <w:rPr>
          <w:i/>
          <w:sz w:val="32"/>
        </w:rPr>
      </w:pPr>
      <w:r>
        <w:rPr>
          <w:i/>
          <w:sz w:val="32"/>
        </w:rPr>
        <w:t>(Anlage_01</w:t>
      </w:r>
      <w:r>
        <w:rPr>
          <w:i/>
          <w:spacing w:val="-4"/>
          <w:sz w:val="32"/>
        </w:rPr>
        <w:t>)</w:t>
      </w:r>
    </w:p>
    <w:p w14:paraId="7BFB387C" w14:textId="77777777" w:rsidR="00A946C5" w:rsidRPr="00A946C5" w:rsidRDefault="00A946C5" w:rsidP="00A946C5"/>
    <w:p w14:paraId="6FB2DBA3" w14:textId="77777777" w:rsidR="0018345E" w:rsidRDefault="0018345E" w:rsidP="00E43FDF">
      <w:pPr>
        <w:pStyle w:val="Titel"/>
        <w:jc w:val="left"/>
        <w:rPr>
          <w:rStyle w:val="Fett"/>
          <w:rFonts w:ascii="Arial" w:eastAsiaTheme="minorHAnsi" w:hAnsi="Arial" w:cstheme="minorBidi"/>
          <w:spacing w:val="0"/>
          <w:kern w:val="0"/>
          <w:sz w:val="52"/>
          <w:szCs w:val="52"/>
        </w:rPr>
      </w:pPr>
    </w:p>
    <w:p w14:paraId="3BA10050" w14:textId="77777777" w:rsidR="00E43FDF" w:rsidRPr="0060795C" w:rsidRDefault="007C7CC3" w:rsidP="00E43FDF">
      <w:pPr>
        <w:pStyle w:val="Titel"/>
        <w:jc w:val="left"/>
        <w:rPr>
          <w:rStyle w:val="Fett"/>
          <w:rFonts w:ascii="Arial" w:eastAsiaTheme="minorHAnsi" w:hAnsi="Arial" w:cstheme="minorBidi"/>
          <w:spacing w:val="0"/>
          <w:kern w:val="0"/>
          <w:sz w:val="48"/>
          <w:szCs w:val="48"/>
        </w:rPr>
      </w:pPr>
      <w:r>
        <w:rPr>
          <w:rStyle w:val="Fett"/>
          <w:rFonts w:ascii="Arial" w:eastAsiaTheme="minorHAnsi" w:hAnsi="Arial" w:cstheme="minorBidi"/>
          <w:spacing w:val="0"/>
          <w:kern w:val="0"/>
          <w:sz w:val="52"/>
          <w:szCs w:val="52"/>
        </w:rPr>
        <w:t>Leistungsbeschreibung</w:t>
      </w:r>
      <w:r>
        <w:rPr>
          <w:rStyle w:val="Fett"/>
          <w:rFonts w:ascii="Arial" w:eastAsiaTheme="minorHAnsi" w:hAnsi="Arial" w:cstheme="minorBidi"/>
          <w:spacing w:val="0"/>
          <w:kern w:val="0"/>
          <w:sz w:val="48"/>
          <w:szCs w:val="48"/>
        </w:rPr>
        <w:t xml:space="preserve"> </w:t>
      </w:r>
    </w:p>
    <w:p w14:paraId="2A95DFE5" w14:textId="77777777" w:rsidR="00E43FDF" w:rsidRDefault="00E43FDF" w:rsidP="00E43FDF">
      <w:pPr>
        <w:pStyle w:val="Titel"/>
        <w:jc w:val="left"/>
        <w:rPr>
          <w:rStyle w:val="Fett"/>
          <w:rFonts w:ascii="Arial" w:eastAsiaTheme="minorHAnsi" w:hAnsi="Arial" w:cstheme="minorBidi"/>
          <w:spacing w:val="0"/>
          <w:kern w:val="0"/>
          <w:sz w:val="52"/>
          <w:szCs w:val="52"/>
        </w:rPr>
      </w:pPr>
    </w:p>
    <w:p w14:paraId="52BB1E12" w14:textId="77777777" w:rsidR="006208FC" w:rsidRDefault="006208FC" w:rsidP="00C24BB0">
      <w:pPr>
        <w:spacing w:before="120" w:after="120"/>
        <w:jc w:val="left"/>
        <w:rPr>
          <w:rFonts w:cs="Arial"/>
          <w:sz w:val="40"/>
          <w:szCs w:val="40"/>
        </w:rPr>
      </w:pPr>
    </w:p>
    <w:p w14:paraId="6F7D761F" w14:textId="00D86B36" w:rsidR="00CC63CA" w:rsidRPr="00C4604E" w:rsidRDefault="00CC63CA" w:rsidP="00F459C4">
      <w:pPr>
        <w:spacing w:after="120" w:line="259" w:lineRule="auto"/>
        <w:jc w:val="left"/>
        <w:rPr>
          <w:rFonts w:eastAsia="Arial" w:cs="Arial"/>
          <w:bCs/>
          <w:sz w:val="36"/>
          <w:szCs w:val="36"/>
        </w:rPr>
      </w:pPr>
      <w:r>
        <w:rPr>
          <w:rFonts w:eastAsia="Arial" w:cs="Arial"/>
          <w:bCs/>
          <w:sz w:val="36"/>
          <w:szCs w:val="36"/>
        </w:rPr>
        <w:t xml:space="preserve">Entwicklung, Lieferung und Ersatzversorgung von Türsteuergeräten für die Fahrzeugtypen NGT D8 DD und NGT D12 DD </w:t>
      </w:r>
    </w:p>
    <w:p w14:paraId="3B297E72" w14:textId="77777777" w:rsidR="00F459C4" w:rsidRPr="00C4604E" w:rsidRDefault="00F459C4" w:rsidP="00F459C4">
      <w:pPr>
        <w:spacing w:after="120" w:line="259" w:lineRule="auto"/>
        <w:jc w:val="left"/>
        <w:rPr>
          <w:rFonts w:eastAsia="Arial" w:cs="Arial"/>
          <w:bCs/>
          <w:i/>
          <w:iCs/>
          <w:sz w:val="32"/>
          <w:szCs w:val="32"/>
        </w:rPr>
      </w:pPr>
      <w:r>
        <w:rPr>
          <w:rFonts w:eastAsia="Arial" w:cs="Arial"/>
          <w:bCs/>
          <w:i/>
          <w:iCs/>
          <w:sz w:val="32"/>
          <w:szCs w:val="32"/>
        </w:rPr>
        <w:t>Vorgangsnummer: 2026-00172</w:t>
      </w:r>
    </w:p>
    <w:p w14:paraId="41E4A691" w14:textId="77777777" w:rsidR="006208FC" w:rsidRDefault="006208FC" w:rsidP="006208FC">
      <w:pPr>
        <w:jc w:val="left"/>
        <w:rPr>
          <w:rFonts w:cs="Arial"/>
          <w:sz w:val="40"/>
          <w:szCs w:val="40"/>
        </w:rPr>
      </w:pPr>
    </w:p>
    <w:p w14:paraId="7BD6E9A1" w14:textId="77777777" w:rsidR="006208FC" w:rsidRPr="006208FC" w:rsidRDefault="006208FC" w:rsidP="006208FC">
      <w:pPr>
        <w:jc w:val="left"/>
        <w:rPr>
          <w:rFonts w:cs="Arial"/>
        </w:rPr>
      </w:pPr>
      <w:r>
        <w:rPr>
          <w:rFonts w:cs="Arial"/>
          <w:b/>
          <w:bCs/>
        </w:rPr>
        <w:t>Ziel:</w:t>
      </w:r>
      <w:r>
        <w:rPr>
          <w:rFonts w:cs="Arial"/>
        </w:rPr>
        <w:t xml:space="preserve"> Beschaffung einer funktionsgleichen, kompatiblen Türsteuerung als Nachfolgegerät für die abgekündigte Türsteuerung </w:t>
      </w:r>
      <w:r>
        <w:rPr>
          <w:rFonts w:cs="Arial"/>
          <w:b/>
          <w:bCs/>
        </w:rPr>
        <w:t>MT24 (Bode-Nr.: 004-0020-301)</w:t>
      </w:r>
      <w:r>
        <w:rPr>
          <w:rFonts w:cs="Arial"/>
        </w:rPr>
        <w:t xml:space="preserve"> der Fahrzeugtypen </w:t>
      </w:r>
      <w:r>
        <w:rPr>
          <w:rFonts w:cs="Arial"/>
          <w:b/>
          <w:bCs/>
        </w:rPr>
        <w:t>NGT D8 DD und NGT D12 DD</w:t>
      </w:r>
      <w:r>
        <w:rPr>
          <w:rFonts w:cs="Arial"/>
        </w:rPr>
        <w:t>.</w:t>
      </w:r>
    </w:p>
    <w:p w14:paraId="7ECDC756" w14:textId="77777777" w:rsidR="006208FC" w:rsidRDefault="006208FC" w:rsidP="006208FC">
      <w:pPr>
        <w:jc w:val="left"/>
      </w:pPr>
      <w:r>
        <w:rPr>
          <w:rFonts w:cs="Arial"/>
          <w:noProof/>
        </w:rPr>
        <w:drawing>
          <wp:anchor distT="0" distB="0" distL="114300" distR="114300" simplePos="0" relativeHeight="251658242" behindDoc="1" locked="0" layoutInCell="1" allowOverlap="1" wp14:anchorId="7F4B4B65" wp14:editId="069863D8">
            <wp:simplePos x="0" y="0"/>
            <wp:positionH relativeFrom="column">
              <wp:posOffset>-88900</wp:posOffset>
            </wp:positionH>
            <wp:positionV relativeFrom="paragraph">
              <wp:posOffset>2316480</wp:posOffset>
            </wp:positionV>
            <wp:extent cx="5814060" cy="478155"/>
            <wp:effectExtent l="0" t="0" r="0" b="0"/>
            <wp:wrapNone/>
            <wp:docPr id="8512671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67117" name=""/>
                    <pic:cNvPicPr/>
                  </pic:nvPicPr>
                  <pic:blipFill>
                    <a:blip r:embed="rId11">
                      <a:extLst>
                        <a:ext uri="{28A0092B-C50C-407E-A947-70E740481C1C}">
                          <a14:useLocalDpi xmlns:a14="http://schemas.microsoft.com/office/drawing/2010/main" val="0"/>
                        </a:ext>
                      </a:extLst>
                    </a:blip>
                    <a:stretch>
                      <a:fillRect/>
                    </a:stretch>
                  </pic:blipFill>
                  <pic:spPr>
                    <a:xfrm>
                      <a:off x="0" y="0"/>
                      <a:ext cx="5814060" cy="478155"/>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8243" behindDoc="1" locked="0" layoutInCell="1" allowOverlap="1" wp14:anchorId="1F3B1C94" wp14:editId="39C41BB4">
            <wp:simplePos x="0" y="0"/>
            <wp:positionH relativeFrom="column">
              <wp:posOffset>-7620</wp:posOffset>
            </wp:positionH>
            <wp:positionV relativeFrom="paragraph">
              <wp:posOffset>147955</wp:posOffset>
            </wp:positionV>
            <wp:extent cx="5581015" cy="247650"/>
            <wp:effectExtent l="0" t="0" r="635" b="0"/>
            <wp:wrapNone/>
            <wp:docPr id="16696601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60139" name=""/>
                    <pic:cNvPicPr/>
                  </pic:nvPicPr>
                  <pic:blipFill>
                    <a:blip r:embed="rId12">
                      <a:extLst>
                        <a:ext uri="{28A0092B-C50C-407E-A947-70E740481C1C}">
                          <a14:useLocalDpi xmlns:a14="http://schemas.microsoft.com/office/drawing/2010/main" val="0"/>
                        </a:ext>
                      </a:extLst>
                    </a:blip>
                    <a:stretch>
                      <a:fillRect/>
                    </a:stretch>
                  </pic:blipFill>
                  <pic:spPr>
                    <a:xfrm>
                      <a:off x="0" y="0"/>
                      <a:ext cx="5581015" cy="24765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8240" behindDoc="1" locked="0" layoutInCell="1" allowOverlap="1" wp14:anchorId="33679C3D" wp14:editId="28E18D74">
            <wp:simplePos x="0" y="0"/>
            <wp:positionH relativeFrom="column">
              <wp:posOffset>-48260</wp:posOffset>
            </wp:positionH>
            <wp:positionV relativeFrom="paragraph">
              <wp:posOffset>522605</wp:posOffset>
            </wp:positionV>
            <wp:extent cx="4705985" cy="801370"/>
            <wp:effectExtent l="0" t="0" r="0" b="0"/>
            <wp:wrapNone/>
            <wp:docPr id="18489804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80453" name="Grafik 1"/>
                    <pic:cNvPicPr/>
                  </pic:nvPicPr>
                  <pic:blipFill rotWithShape="1">
                    <a:blip r:embed="rId13">
                      <a:extLst>
                        <a:ext uri="{28A0092B-C50C-407E-A947-70E740481C1C}">
                          <a14:useLocalDpi xmlns:a14="http://schemas.microsoft.com/office/drawing/2010/main" val="0"/>
                        </a:ext>
                      </a:extLst>
                    </a:blip>
                    <a:srcRect t="26541"/>
                    <a:stretch>
                      <a:fillRect/>
                    </a:stretch>
                  </pic:blipFill>
                  <pic:spPr bwMode="auto">
                    <a:xfrm>
                      <a:off x="0" y="0"/>
                      <a:ext cx="4705985" cy="801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noProof/>
          <w:sz w:val="40"/>
          <w:szCs w:val="40"/>
        </w:rPr>
        <w:drawing>
          <wp:anchor distT="0" distB="0" distL="114300" distR="114300" simplePos="0" relativeHeight="251658241" behindDoc="1" locked="0" layoutInCell="1" allowOverlap="1" wp14:anchorId="6FFC64F1" wp14:editId="40B96E88">
            <wp:simplePos x="0" y="0"/>
            <wp:positionH relativeFrom="column">
              <wp:posOffset>6985</wp:posOffset>
            </wp:positionH>
            <wp:positionV relativeFrom="paragraph">
              <wp:posOffset>1426210</wp:posOffset>
            </wp:positionV>
            <wp:extent cx="4225290" cy="813435"/>
            <wp:effectExtent l="0" t="0" r="3810" b="5715"/>
            <wp:wrapNone/>
            <wp:docPr id="20147661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66112" name="Grafik 1"/>
                    <pic:cNvPicPr/>
                  </pic:nvPicPr>
                  <pic:blipFill rotWithShape="1">
                    <a:blip r:embed="rId14">
                      <a:extLst>
                        <a:ext uri="{28A0092B-C50C-407E-A947-70E740481C1C}">
                          <a14:useLocalDpi xmlns:a14="http://schemas.microsoft.com/office/drawing/2010/main" val="0"/>
                        </a:ext>
                      </a:extLst>
                    </a:blip>
                    <a:srcRect t="2707"/>
                    <a:stretch>
                      <a:fillRect/>
                    </a:stretch>
                  </pic:blipFill>
                  <pic:spPr bwMode="auto">
                    <a:xfrm>
                      <a:off x="0" y="0"/>
                      <a:ext cx="4225290" cy="813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652634" w14:textId="77777777" w:rsidR="006208FC" w:rsidRDefault="006208FC" w:rsidP="006208FC">
      <w:pPr>
        <w:jc w:val="left"/>
      </w:pPr>
    </w:p>
    <w:p w14:paraId="3E776B63" w14:textId="77777777" w:rsidR="006208FC" w:rsidRDefault="006208FC" w:rsidP="006208FC">
      <w:pPr>
        <w:jc w:val="left"/>
      </w:pPr>
    </w:p>
    <w:p w14:paraId="065F8E49" w14:textId="77777777" w:rsidR="006208FC" w:rsidRDefault="006208FC" w:rsidP="006208FC">
      <w:pPr>
        <w:jc w:val="left"/>
      </w:pPr>
      <w:r>
        <w:br w:type="page"/>
      </w:r>
    </w:p>
    <w:sdt>
      <w:sdtPr>
        <w:id w:val="809289281"/>
        <w:docPartObj>
          <w:docPartGallery w:val="Table of Contents"/>
          <w:docPartUnique/>
        </w:docPartObj>
      </w:sdtPr>
      <w:sdtEndPr>
        <w:rPr>
          <w:b/>
          <w:bCs/>
          <w:highlight w:val="yellow"/>
        </w:rPr>
      </w:sdtEndPr>
      <w:sdtContent>
        <w:p w14:paraId="1AE2276A" w14:textId="77777777" w:rsidR="000D6268" w:rsidRDefault="002C3D07">
          <w:pPr>
            <w:jc w:val="left"/>
          </w:pPr>
          <w:r>
            <w:t>Inhalt</w:t>
          </w:r>
        </w:p>
        <w:p w14:paraId="35A7F6CF" w14:textId="7E605B87" w:rsidR="00E75006" w:rsidRDefault="002C3D07">
          <w:pPr>
            <w:pStyle w:val="Verzeichnis1"/>
            <w:tabs>
              <w:tab w:val="left" w:pos="720"/>
              <w:tab w:val="right" w:leader="dot" w:pos="9056"/>
            </w:tabs>
            <w:rPr>
              <w:rFonts w:asciiTheme="minorHAnsi" w:eastAsiaTheme="minorEastAsia" w:hAnsiTheme="minorHAnsi"/>
              <w:noProof/>
              <w:kern w:val="2"/>
              <w:lang w:eastAsia="de-DE"/>
              <w14:ligatures w14:val="standardContextual"/>
            </w:rPr>
          </w:pPr>
          <w:r>
            <w:fldChar w:fldCharType="begin"/>
          </w:r>
          <w:r>
            <w:instrText xml:space="preserve"> TOC \o "1-3" \h \z \u </w:instrText>
          </w:r>
          <w:r>
            <w:fldChar w:fldCharType="separate"/>
          </w:r>
          <w:hyperlink w:anchor="_Toc242101310" w:history="1">
            <w:r>
              <w:rPr>
                <w:rStyle w:val="Hyperlink"/>
                <w:noProof/>
                <w14:scene3d>
                  <w14:camera w14:prst="orthographicFront"/>
                  <w14:lightRig w14:rig="threePt" w14:dir="t">
                    <w14:rot w14:lat="0" w14:lon="0" w14:rev="0"/>
                  </w14:lightRig>
                </w14:scene3d>
              </w:rPr>
              <w:t>§ 1</w:t>
            </w:r>
            <w:r>
              <w:rPr>
                <w:rFonts w:asciiTheme="minorHAnsi" w:eastAsiaTheme="minorEastAsia" w:hAnsiTheme="minorHAnsi"/>
                <w:noProof/>
                <w:kern w:val="2"/>
                <w:lang w:eastAsia="de-DE"/>
                <w14:ligatures w14:val="standardContextual"/>
              </w:rPr>
              <w:tab/>
            </w:r>
            <w:r>
              <w:rPr>
                <w:rStyle w:val="Hyperlink"/>
                <w:noProof/>
              </w:rPr>
              <w:t>Leistungsgegenstand</w:t>
            </w:r>
            <w:r>
              <w:rPr>
                <w:noProof/>
                <w:webHidden/>
              </w:rPr>
              <w:tab/>
            </w:r>
            <w:r>
              <w:rPr>
                <w:noProof/>
                <w:webHidden/>
              </w:rPr>
              <w:fldChar w:fldCharType="begin"/>
            </w:r>
            <w:r>
              <w:rPr>
                <w:noProof/>
                <w:webHidden/>
              </w:rPr>
              <w:instrText xml:space="preserve"> PAGEREF _Toc242101310 \h </w:instrText>
            </w:r>
            <w:r>
              <w:rPr>
                <w:noProof/>
                <w:webHidden/>
              </w:rPr>
            </w:r>
            <w:r>
              <w:rPr>
                <w:noProof/>
                <w:webHidden/>
              </w:rPr>
              <w:fldChar w:fldCharType="separate"/>
            </w:r>
            <w:r w:rsidR="007B707B">
              <w:rPr>
                <w:noProof/>
                <w:webHidden/>
              </w:rPr>
              <w:t>3</w:t>
            </w:r>
            <w:r>
              <w:rPr>
                <w:noProof/>
                <w:webHidden/>
              </w:rPr>
              <w:fldChar w:fldCharType="end"/>
            </w:r>
          </w:hyperlink>
        </w:p>
        <w:p w14:paraId="07B43985" w14:textId="6474CBA9" w:rsidR="00E75006" w:rsidRDefault="00E75006">
          <w:pPr>
            <w:pStyle w:val="Verzeichnis1"/>
            <w:tabs>
              <w:tab w:val="left" w:pos="720"/>
              <w:tab w:val="right" w:leader="dot" w:pos="9056"/>
            </w:tabs>
            <w:rPr>
              <w:rFonts w:asciiTheme="minorHAnsi" w:eastAsiaTheme="minorEastAsia" w:hAnsiTheme="minorHAnsi"/>
              <w:noProof/>
              <w:kern w:val="2"/>
              <w:lang w:eastAsia="de-DE"/>
              <w14:ligatures w14:val="standardContextual"/>
            </w:rPr>
          </w:pPr>
          <w:hyperlink w:anchor="_Toc242101311" w:history="1">
            <w:r>
              <w:rPr>
                <w:rStyle w:val="Hyperlink"/>
                <w:noProof/>
                <w14:scene3d>
                  <w14:camera w14:prst="orthographicFront"/>
                  <w14:lightRig w14:rig="threePt" w14:dir="t">
                    <w14:rot w14:lat="0" w14:lon="0" w14:rev="0"/>
                  </w14:lightRig>
                </w14:scene3d>
              </w:rPr>
              <w:t>§ 2</w:t>
            </w:r>
            <w:r>
              <w:rPr>
                <w:rFonts w:asciiTheme="minorHAnsi" w:eastAsiaTheme="minorEastAsia" w:hAnsiTheme="minorHAnsi"/>
                <w:noProof/>
                <w:kern w:val="2"/>
                <w:lang w:eastAsia="de-DE"/>
                <w14:ligatures w14:val="standardContextual"/>
              </w:rPr>
              <w:tab/>
            </w:r>
            <w:r>
              <w:rPr>
                <w:rStyle w:val="Hyperlink"/>
                <w:noProof/>
              </w:rPr>
              <w:t>Mengengerüst und Umfang der Beschaffung</w:t>
            </w:r>
            <w:r>
              <w:rPr>
                <w:noProof/>
                <w:webHidden/>
              </w:rPr>
              <w:tab/>
            </w:r>
            <w:r>
              <w:rPr>
                <w:noProof/>
                <w:webHidden/>
              </w:rPr>
              <w:fldChar w:fldCharType="begin"/>
            </w:r>
            <w:r>
              <w:rPr>
                <w:noProof/>
                <w:webHidden/>
              </w:rPr>
              <w:instrText xml:space="preserve"> PAGEREF _Toc242101311 \h </w:instrText>
            </w:r>
            <w:r>
              <w:rPr>
                <w:noProof/>
                <w:webHidden/>
              </w:rPr>
            </w:r>
            <w:r>
              <w:rPr>
                <w:noProof/>
                <w:webHidden/>
              </w:rPr>
              <w:fldChar w:fldCharType="separate"/>
            </w:r>
            <w:r w:rsidR="007B707B">
              <w:rPr>
                <w:noProof/>
                <w:webHidden/>
              </w:rPr>
              <w:t>5</w:t>
            </w:r>
            <w:r>
              <w:rPr>
                <w:noProof/>
                <w:webHidden/>
              </w:rPr>
              <w:fldChar w:fldCharType="end"/>
            </w:r>
          </w:hyperlink>
        </w:p>
        <w:p w14:paraId="280F6062" w14:textId="36FB3038" w:rsidR="00E75006" w:rsidRDefault="00E75006">
          <w:pPr>
            <w:pStyle w:val="Verzeichnis1"/>
            <w:tabs>
              <w:tab w:val="left" w:pos="720"/>
              <w:tab w:val="right" w:leader="dot" w:pos="9056"/>
            </w:tabs>
            <w:rPr>
              <w:rFonts w:asciiTheme="minorHAnsi" w:eastAsiaTheme="minorEastAsia" w:hAnsiTheme="minorHAnsi"/>
              <w:noProof/>
              <w:kern w:val="2"/>
              <w:lang w:eastAsia="de-DE"/>
              <w14:ligatures w14:val="standardContextual"/>
            </w:rPr>
          </w:pPr>
          <w:hyperlink w:anchor="_Toc242101312" w:history="1">
            <w:r>
              <w:rPr>
                <w:rStyle w:val="Hyperlink"/>
                <w:noProof/>
                <w14:scene3d>
                  <w14:camera w14:prst="orthographicFront"/>
                  <w14:lightRig w14:rig="threePt" w14:dir="t">
                    <w14:rot w14:lat="0" w14:lon="0" w14:rev="0"/>
                  </w14:lightRig>
                </w14:scene3d>
              </w:rPr>
              <w:t>§ 3</w:t>
            </w:r>
            <w:r>
              <w:rPr>
                <w:rFonts w:asciiTheme="minorHAnsi" w:eastAsiaTheme="minorEastAsia" w:hAnsiTheme="minorHAnsi"/>
                <w:noProof/>
                <w:kern w:val="2"/>
                <w:lang w:eastAsia="de-DE"/>
                <w14:ligatures w14:val="standardContextual"/>
              </w:rPr>
              <w:tab/>
            </w:r>
            <w:r>
              <w:rPr>
                <w:rStyle w:val="Hyperlink"/>
                <w:noProof/>
              </w:rPr>
              <w:t>Rahmenbedingungen</w:t>
            </w:r>
            <w:r>
              <w:rPr>
                <w:noProof/>
                <w:webHidden/>
              </w:rPr>
              <w:tab/>
            </w:r>
            <w:r>
              <w:rPr>
                <w:noProof/>
                <w:webHidden/>
              </w:rPr>
              <w:fldChar w:fldCharType="begin"/>
            </w:r>
            <w:r>
              <w:rPr>
                <w:noProof/>
                <w:webHidden/>
              </w:rPr>
              <w:instrText xml:space="preserve"> PAGEREF _Toc242101312 \h </w:instrText>
            </w:r>
            <w:r>
              <w:rPr>
                <w:noProof/>
                <w:webHidden/>
              </w:rPr>
            </w:r>
            <w:r>
              <w:rPr>
                <w:noProof/>
                <w:webHidden/>
              </w:rPr>
              <w:fldChar w:fldCharType="separate"/>
            </w:r>
            <w:r w:rsidR="007B707B">
              <w:rPr>
                <w:noProof/>
                <w:webHidden/>
              </w:rPr>
              <w:t>5</w:t>
            </w:r>
            <w:r>
              <w:rPr>
                <w:noProof/>
                <w:webHidden/>
              </w:rPr>
              <w:fldChar w:fldCharType="end"/>
            </w:r>
          </w:hyperlink>
        </w:p>
        <w:p w14:paraId="70F16ADD" w14:textId="2AC6C717" w:rsidR="00E75006" w:rsidRDefault="00E75006">
          <w:pPr>
            <w:pStyle w:val="Verzeichnis1"/>
            <w:tabs>
              <w:tab w:val="left" w:pos="720"/>
              <w:tab w:val="right" w:leader="dot" w:pos="9056"/>
            </w:tabs>
            <w:rPr>
              <w:rFonts w:asciiTheme="minorHAnsi" w:eastAsiaTheme="minorEastAsia" w:hAnsiTheme="minorHAnsi"/>
              <w:noProof/>
              <w:kern w:val="2"/>
              <w:lang w:eastAsia="de-DE"/>
              <w14:ligatures w14:val="standardContextual"/>
            </w:rPr>
          </w:pPr>
          <w:hyperlink w:anchor="_Toc242101313" w:history="1">
            <w:r>
              <w:rPr>
                <w:rStyle w:val="Hyperlink"/>
                <w:noProof/>
                <w14:scene3d>
                  <w14:camera w14:prst="orthographicFront"/>
                  <w14:lightRig w14:rig="threePt" w14:dir="t">
                    <w14:rot w14:lat="0" w14:lon="0" w14:rev="0"/>
                  </w14:lightRig>
                </w14:scene3d>
              </w:rPr>
              <w:t>§ 4</w:t>
            </w:r>
            <w:r>
              <w:rPr>
                <w:rFonts w:asciiTheme="minorHAnsi" w:eastAsiaTheme="minorEastAsia" w:hAnsiTheme="minorHAnsi"/>
                <w:noProof/>
                <w:kern w:val="2"/>
                <w:lang w:eastAsia="de-DE"/>
                <w14:ligatures w14:val="standardContextual"/>
              </w:rPr>
              <w:tab/>
            </w:r>
            <w:r>
              <w:rPr>
                <w:rStyle w:val="Hyperlink"/>
                <w:noProof/>
              </w:rPr>
              <w:t>Technische Grundforderungen</w:t>
            </w:r>
            <w:r>
              <w:rPr>
                <w:noProof/>
                <w:webHidden/>
              </w:rPr>
              <w:tab/>
            </w:r>
            <w:r>
              <w:rPr>
                <w:noProof/>
                <w:webHidden/>
              </w:rPr>
              <w:fldChar w:fldCharType="begin"/>
            </w:r>
            <w:r>
              <w:rPr>
                <w:noProof/>
                <w:webHidden/>
              </w:rPr>
              <w:instrText xml:space="preserve"> PAGEREF _Toc242101313 \h </w:instrText>
            </w:r>
            <w:r>
              <w:rPr>
                <w:noProof/>
                <w:webHidden/>
              </w:rPr>
            </w:r>
            <w:r>
              <w:rPr>
                <w:noProof/>
                <w:webHidden/>
              </w:rPr>
              <w:fldChar w:fldCharType="separate"/>
            </w:r>
            <w:r w:rsidR="007B707B">
              <w:rPr>
                <w:noProof/>
                <w:webHidden/>
              </w:rPr>
              <w:t>7</w:t>
            </w:r>
            <w:r>
              <w:rPr>
                <w:noProof/>
                <w:webHidden/>
              </w:rPr>
              <w:fldChar w:fldCharType="end"/>
            </w:r>
          </w:hyperlink>
        </w:p>
        <w:p w14:paraId="789D8343" w14:textId="21A3D97F" w:rsidR="00E75006" w:rsidRDefault="00E75006">
          <w:pPr>
            <w:pStyle w:val="Verzeichnis1"/>
            <w:tabs>
              <w:tab w:val="left" w:pos="720"/>
              <w:tab w:val="right" w:leader="dot" w:pos="9056"/>
            </w:tabs>
            <w:rPr>
              <w:rFonts w:asciiTheme="minorHAnsi" w:eastAsiaTheme="minorEastAsia" w:hAnsiTheme="minorHAnsi"/>
              <w:noProof/>
              <w:kern w:val="2"/>
              <w:lang w:eastAsia="de-DE"/>
              <w14:ligatures w14:val="standardContextual"/>
            </w:rPr>
          </w:pPr>
          <w:hyperlink w:anchor="_Toc242101314" w:history="1">
            <w:r>
              <w:rPr>
                <w:rStyle w:val="Hyperlink"/>
                <w:noProof/>
                <w14:scene3d>
                  <w14:camera w14:prst="orthographicFront"/>
                  <w14:lightRig w14:rig="threePt" w14:dir="t">
                    <w14:rot w14:lat="0" w14:lon="0" w14:rev="0"/>
                  </w14:lightRig>
                </w14:scene3d>
              </w:rPr>
              <w:t>§ 5</w:t>
            </w:r>
            <w:r>
              <w:rPr>
                <w:rFonts w:asciiTheme="minorHAnsi" w:eastAsiaTheme="minorEastAsia" w:hAnsiTheme="minorHAnsi"/>
                <w:noProof/>
                <w:kern w:val="2"/>
                <w:lang w:eastAsia="de-DE"/>
                <w14:ligatures w14:val="standardContextual"/>
              </w:rPr>
              <w:tab/>
            </w:r>
            <w:r>
              <w:rPr>
                <w:rStyle w:val="Hyperlink"/>
                <w:noProof/>
              </w:rPr>
              <w:t>Fristen und Zeitplan</w:t>
            </w:r>
            <w:r>
              <w:rPr>
                <w:noProof/>
                <w:webHidden/>
              </w:rPr>
              <w:tab/>
            </w:r>
            <w:r>
              <w:rPr>
                <w:noProof/>
                <w:webHidden/>
              </w:rPr>
              <w:fldChar w:fldCharType="begin"/>
            </w:r>
            <w:r>
              <w:rPr>
                <w:noProof/>
                <w:webHidden/>
              </w:rPr>
              <w:instrText xml:space="preserve"> PAGEREF _Toc242101314 \h </w:instrText>
            </w:r>
            <w:r>
              <w:rPr>
                <w:noProof/>
                <w:webHidden/>
              </w:rPr>
            </w:r>
            <w:r>
              <w:rPr>
                <w:noProof/>
                <w:webHidden/>
              </w:rPr>
              <w:fldChar w:fldCharType="separate"/>
            </w:r>
            <w:r w:rsidR="007B707B">
              <w:rPr>
                <w:noProof/>
                <w:webHidden/>
              </w:rPr>
              <w:t>7</w:t>
            </w:r>
            <w:r>
              <w:rPr>
                <w:noProof/>
                <w:webHidden/>
              </w:rPr>
              <w:fldChar w:fldCharType="end"/>
            </w:r>
          </w:hyperlink>
        </w:p>
        <w:p w14:paraId="4DC19F98" w14:textId="36DEBEE4" w:rsidR="00E75006" w:rsidRDefault="00E75006">
          <w:pPr>
            <w:pStyle w:val="Verzeichnis1"/>
            <w:tabs>
              <w:tab w:val="left" w:pos="720"/>
              <w:tab w:val="right" w:leader="dot" w:pos="9056"/>
            </w:tabs>
            <w:rPr>
              <w:rFonts w:asciiTheme="minorHAnsi" w:eastAsiaTheme="minorEastAsia" w:hAnsiTheme="minorHAnsi"/>
              <w:noProof/>
              <w:kern w:val="2"/>
              <w:lang w:eastAsia="de-DE"/>
              <w14:ligatures w14:val="standardContextual"/>
            </w:rPr>
          </w:pPr>
          <w:hyperlink w:anchor="_Toc242101315" w:history="1">
            <w:r>
              <w:rPr>
                <w:rStyle w:val="Hyperlink"/>
                <w:noProof/>
                <w14:scene3d>
                  <w14:camera w14:prst="orthographicFront"/>
                  <w14:lightRig w14:rig="threePt" w14:dir="t">
                    <w14:rot w14:lat="0" w14:lon="0" w14:rev="0"/>
                  </w14:lightRig>
                </w14:scene3d>
              </w:rPr>
              <w:t>§ 6</w:t>
            </w:r>
            <w:r>
              <w:rPr>
                <w:rFonts w:asciiTheme="minorHAnsi" w:eastAsiaTheme="minorEastAsia" w:hAnsiTheme="minorHAnsi"/>
                <w:noProof/>
                <w:kern w:val="2"/>
                <w:lang w:eastAsia="de-DE"/>
                <w14:ligatures w14:val="standardContextual"/>
              </w:rPr>
              <w:tab/>
            </w:r>
            <w:r>
              <w:rPr>
                <w:rStyle w:val="Hyperlink"/>
                <w:noProof/>
              </w:rPr>
              <w:t>Vergütung</w:t>
            </w:r>
            <w:r>
              <w:rPr>
                <w:noProof/>
                <w:webHidden/>
              </w:rPr>
              <w:tab/>
            </w:r>
            <w:r>
              <w:rPr>
                <w:noProof/>
                <w:webHidden/>
              </w:rPr>
              <w:fldChar w:fldCharType="begin"/>
            </w:r>
            <w:r>
              <w:rPr>
                <w:noProof/>
                <w:webHidden/>
              </w:rPr>
              <w:instrText xml:space="preserve"> PAGEREF _Toc242101315 \h </w:instrText>
            </w:r>
            <w:r>
              <w:rPr>
                <w:noProof/>
                <w:webHidden/>
              </w:rPr>
            </w:r>
            <w:r>
              <w:rPr>
                <w:noProof/>
                <w:webHidden/>
              </w:rPr>
              <w:fldChar w:fldCharType="separate"/>
            </w:r>
            <w:r w:rsidR="007B707B">
              <w:rPr>
                <w:noProof/>
                <w:webHidden/>
              </w:rPr>
              <w:t>8</w:t>
            </w:r>
            <w:r>
              <w:rPr>
                <w:noProof/>
                <w:webHidden/>
              </w:rPr>
              <w:fldChar w:fldCharType="end"/>
            </w:r>
          </w:hyperlink>
        </w:p>
        <w:p w14:paraId="1814669C" w14:textId="3ED4136E" w:rsidR="00E75006" w:rsidRDefault="00E75006">
          <w:pPr>
            <w:pStyle w:val="Verzeichnis1"/>
            <w:tabs>
              <w:tab w:val="left" w:pos="720"/>
              <w:tab w:val="right" w:leader="dot" w:pos="9056"/>
            </w:tabs>
            <w:rPr>
              <w:rFonts w:asciiTheme="minorHAnsi" w:eastAsiaTheme="minorEastAsia" w:hAnsiTheme="minorHAnsi"/>
              <w:noProof/>
              <w:kern w:val="2"/>
              <w:lang w:eastAsia="de-DE"/>
              <w14:ligatures w14:val="standardContextual"/>
            </w:rPr>
          </w:pPr>
          <w:hyperlink w:anchor="_Toc242101316" w:history="1">
            <w:r>
              <w:rPr>
                <w:rStyle w:val="Hyperlink"/>
                <w:noProof/>
                <w14:scene3d>
                  <w14:camera w14:prst="orthographicFront"/>
                  <w14:lightRig w14:rig="threePt" w14:dir="t">
                    <w14:rot w14:lat="0" w14:lon="0" w14:rev="0"/>
                  </w14:lightRig>
                </w14:scene3d>
              </w:rPr>
              <w:t>§ 7</w:t>
            </w:r>
            <w:r>
              <w:rPr>
                <w:rFonts w:asciiTheme="minorHAnsi" w:eastAsiaTheme="minorEastAsia" w:hAnsiTheme="minorHAnsi"/>
                <w:noProof/>
                <w:kern w:val="2"/>
                <w:lang w:eastAsia="de-DE"/>
                <w14:ligatures w14:val="standardContextual"/>
              </w:rPr>
              <w:tab/>
            </w:r>
            <w:r>
              <w:rPr>
                <w:rStyle w:val="Hyperlink"/>
                <w:noProof/>
              </w:rPr>
              <w:t>Optionen</w:t>
            </w:r>
            <w:r>
              <w:rPr>
                <w:noProof/>
                <w:webHidden/>
              </w:rPr>
              <w:tab/>
            </w:r>
            <w:r>
              <w:rPr>
                <w:noProof/>
                <w:webHidden/>
              </w:rPr>
              <w:fldChar w:fldCharType="begin"/>
            </w:r>
            <w:r>
              <w:rPr>
                <w:noProof/>
                <w:webHidden/>
              </w:rPr>
              <w:instrText xml:space="preserve"> PAGEREF _Toc242101316 \h </w:instrText>
            </w:r>
            <w:r>
              <w:rPr>
                <w:noProof/>
                <w:webHidden/>
              </w:rPr>
            </w:r>
            <w:r>
              <w:rPr>
                <w:noProof/>
                <w:webHidden/>
              </w:rPr>
              <w:fldChar w:fldCharType="separate"/>
            </w:r>
            <w:r w:rsidR="007B707B">
              <w:rPr>
                <w:noProof/>
                <w:webHidden/>
              </w:rPr>
              <w:t>8</w:t>
            </w:r>
            <w:r>
              <w:rPr>
                <w:noProof/>
                <w:webHidden/>
              </w:rPr>
              <w:fldChar w:fldCharType="end"/>
            </w:r>
          </w:hyperlink>
        </w:p>
        <w:p w14:paraId="704F0AD6" w14:textId="61B120B9" w:rsidR="000D6268" w:rsidRDefault="002C3D07">
          <w:pPr>
            <w:rPr>
              <w:highlight w:val="yellow"/>
            </w:rPr>
          </w:pPr>
          <w:r>
            <w:rPr>
              <w:b/>
              <w:bCs/>
            </w:rPr>
            <w:fldChar w:fldCharType="end"/>
          </w:r>
        </w:p>
      </w:sdtContent>
    </w:sdt>
    <w:p w14:paraId="235FB871" w14:textId="77777777" w:rsidR="006208FC" w:rsidRDefault="006208FC" w:rsidP="004568C2">
      <w:pPr>
        <w:jc w:val="center"/>
        <w:rPr>
          <w:highlight w:val="yellow"/>
        </w:rPr>
      </w:pPr>
    </w:p>
    <w:p w14:paraId="2A3394E7" w14:textId="77777777" w:rsidR="006208FC" w:rsidRDefault="006208FC" w:rsidP="006208FC">
      <w:pPr>
        <w:rPr>
          <w:highlight w:val="yellow"/>
        </w:rPr>
      </w:pPr>
    </w:p>
    <w:p w14:paraId="17E43132" w14:textId="77777777" w:rsidR="006208FC" w:rsidRPr="004568C2" w:rsidRDefault="006208FC" w:rsidP="004568C2">
      <w:pPr>
        <w:jc w:val="center"/>
        <w:rPr>
          <w:highlight w:val="yellow"/>
        </w:rPr>
      </w:pPr>
    </w:p>
    <w:p w14:paraId="28400563" w14:textId="77777777" w:rsidR="00A22982" w:rsidRPr="00B913BE" w:rsidRDefault="00E04F51" w:rsidP="000A72A9">
      <w:pPr>
        <w:pStyle w:val="berschrift1"/>
        <w:pageBreakBefore/>
        <w:numPr>
          <w:ilvl w:val="0"/>
          <w:numId w:val="3"/>
        </w:numPr>
        <w:ind w:left="431" w:hanging="431"/>
        <w:jc w:val="left"/>
      </w:pPr>
      <w:bookmarkStart w:id="0" w:name="_Toc236902013"/>
      <w:bookmarkStart w:id="1" w:name="_Toc242101310"/>
      <w:r>
        <w:lastRenderedPageBreak/>
        <w:t>Leistungsgegenstand</w:t>
      </w:r>
      <w:bookmarkEnd w:id="0"/>
      <w:bookmarkEnd w:id="1"/>
    </w:p>
    <w:p w14:paraId="3B1B5F9C" w14:textId="77777777" w:rsidR="00364F9F" w:rsidRPr="006E10AB" w:rsidRDefault="00364F9F" w:rsidP="00364F9F">
      <w:pPr>
        <w:pStyle w:val="StandardWeb"/>
        <w:spacing w:line="276" w:lineRule="auto"/>
        <w:jc w:val="both"/>
        <w:rPr>
          <w:rFonts w:ascii="Arial" w:eastAsiaTheme="minorHAnsi" w:hAnsi="Arial" w:cs="Arial"/>
          <w:lang w:eastAsia="en-US"/>
        </w:rPr>
      </w:pPr>
      <w:r>
        <w:rPr>
          <w:rFonts w:ascii="Arial" w:eastAsiaTheme="minorHAnsi" w:hAnsi="Arial" w:cs="Arial"/>
          <w:lang w:eastAsia="en-US"/>
        </w:rPr>
        <w:t>Die angebotene Leistung umfasst die Entwicklung, Lieferung und Dokumentation eines vollständig funktionsgleichen Ersatz-Türsteuergerätes für das abgekündigte Türsteuergerät MT24 der Firma „Bode – Die Tür GmbH“ (Bode-Nr.: 004-0020-301), welches in den Fahrzeugserien NGT D8 DD und NGT D12 DD der Dresdner Verkehrsbetriebe eingesetzt wird. Das neue Türsteuergerät ist so auszulegen, dass es ohne wesentliche konstruktive, elektrische oder softwareseitige Änderungen am Fahrzeug, an der bestehenden Türmechanik, am Türantrieb sowie an der Fahrzeugsteuerung in die vorhandene Fahrzeugarchitektur integriert werden kann.</w:t>
      </w:r>
    </w:p>
    <w:p w14:paraId="242FC9CD" w14:textId="2CA28BFA" w:rsidR="00364F9F" w:rsidRPr="006E10AB" w:rsidRDefault="00364F9F" w:rsidP="00364F9F">
      <w:pPr>
        <w:pStyle w:val="StandardWeb"/>
        <w:spacing w:line="276" w:lineRule="auto"/>
        <w:jc w:val="both"/>
        <w:rPr>
          <w:rFonts w:ascii="Arial" w:eastAsiaTheme="minorHAnsi" w:hAnsi="Arial" w:cs="Arial"/>
          <w:lang w:eastAsia="en-US"/>
        </w:rPr>
      </w:pPr>
      <w:r>
        <w:rPr>
          <w:rFonts w:ascii="Arial" w:eastAsiaTheme="minorHAnsi" w:hAnsi="Arial" w:cs="Arial"/>
          <w:lang w:eastAsia="en-US"/>
        </w:rPr>
        <w:t xml:space="preserve">Der Beginn der praktischen Umsetzung ist für das Jahr 2028 mit dem Einbau und der Erprobung erster Pilotgeräte an einem Testfahrzeug des Typs NGT D12 DD (5 Fahrgasttüren und 1 Fahrertür) vorgesehen. Hierfür liefert der Auftragnehmer sechs serienreife Pilotgeräte (Preisblatt, Abschnitt 1). Davon zu unterscheiden sind die Erstmuster für die Labor- und Typprüfung (z. B. Umwelt-, EMV- und Schwingungsprüfungen; Preisblatt, Abschnitt 2); diese verbleiben beim Auftragnehmer und werden nicht als Pilotgeräte eingesetzt. Auf Grundlage der Ergebnisse aus der Pilotphase soll ab dem Jahr 2030 ein schrittweiser Serienumbau von acht bis zehn Fahrzeugen pro Jahr erfolgen. Dadurch soll eine flexible Umsetzung ermöglicht werden, insbesondere wenn betriebliche, technische oder verfügbarkeitsbedingte Gründe einen vorgezogenen Austausch einzelner Fahrzeuge erforderlich machen. </w:t>
      </w:r>
    </w:p>
    <w:p w14:paraId="585D870D" w14:textId="442747B4" w:rsidR="00292D6D" w:rsidRPr="006E10AB" w:rsidRDefault="00292D6D" w:rsidP="00364F9F">
      <w:pPr>
        <w:pStyle w:val="StandardWeb"/>
        <w:spacing w:line="276" w:lineRule="auto"/>
        <w:jc w:val="both"/>
        <w:rPr>
          <w:rFonts w:cs="Arial"/>
        </w:rPr>
      </w:pPr>
      <w:r>
        <w:rPr>
          <w:rFonts w:ascii="Arial" w:eastAsiaTheme="minorHAnsi" w:hAnsi="Arial" w:cs="Arial"/>
          <w:lang w:eastAsia="en-US"/>
        </w:rPr>
        <w:t xml:space="preserve">Die neue Türsteuerung soll so entwickelt und gebaut sein, dass sie gemäß § 62 der BOStrab als „Bauteil gleicher Funktion und Leistung“ eingestuft werden kann und somit </w:t>
      </w:r>
      <w:r>
        <w:rPr>
          <w:rFonts w:ascii="Arial" w:eastAsiaTheme="minorHAnsi" w:hAnsi="Arial" w:cs="Arial"/>
          <w:b/>
          <w:bCs/>
          <w:lang w:eastAsia="en-US"/>
        </w:rPr>
        <w:t xml:space="preserve">keine Neuzulassung (keine Inbetriebnahmegenehmigung) des Fahrzeugs oder der Fahrgasttüren/Türsteuerung </w:t>
      </w:r>
      <w:r>
        <w:rPr>
          <w:rFonts w:ascii="Arial" w:eastAsiaTheme="minorHAnsi" w:hAnsi="Arial" w:cs="Arial"/>
          <w:lang w:eastAsia="en-US"/>
        </w:rPr>
        <w:t xml:space="preserve">durch die Technische Aufsichtsbehörde (TAB) </w:t>
      </w:r>
      <w:r>
        <w:rPr>
          <w:rFonts w:ascii="Arial" w:eastAsiaTheme="minorHAnsi" w:hAnsi="Arial" w:cs="Arial"/>
          <w:b/>
          <w:bCs/>
          <w:lang w:eastAsia="en-US"/>
        </w:rPr>
        <w:t>notwendig macht</w:t>
      </w:r>
      <w:r>
        <w:rPr>
          <w:rFonts w:ascii="Arial" w:eastAsiaTheme="minorHAnsi" w:hAnsi="Arial" w:cs="Arial"/>
          <w:lang w:eastAsia="en-US"/>
        </w:rPr>
        <w:t>. Der Auftragnehmer (AN) hat hierfür die entsprechende Erklärung sowie alle erforderlichen Nachweise, Dokumente und Gutachten bereitzustellen.</w:t>
      </w:r>
    </w:p>
    <w:p w14:paraId="1712E5CD" w14:textId="4A8D1AF4" w:rsidR="006208FC" w:rsidRPr="006E10AB" w:rsidRDefault="008812E8" w:rsidP="00ED5F4A">
      <w:pPr>
        <w:rPr>
          <w:rFonts w:cs="Arial"/>
        </w:rPr>
      </w:pPr>
      <w:r>
        <w:rPr>
          <w:rFonts w:cs="Arial"/>
        </w:rPr>
        <w:t xml:space="preserve">Das neue Türsteuergerät muss sämtliche funktionalen und sicherheitsrelevanten Eigenschaften des bisherigen MT24 abbilden. Dazu gehören die automatische Türöffnung bei Betätigung eines Fahrgasttasters, Behinderten-/Fahrradtasters oder Haltewunschtasters bei vorhandenem Türfreigabe- und Stillstandssignal sowie das automatische Schließen nach Ablauf der Offenhaltezeit. Ebenso ist sicherzustellen, dass das Verhalten bei Notentriegelung, beim Rückstellen der Notentriegelung, beim Anlaufen des Fahrzeuges sowie beim Entfallen der Türfreigabe </w:t>
      </w:r>
      <w:r>
        <w:rPr>
          <w:rFonts w:cs="Arial"/>
        </w:rPr>
        <w:t>funktional gleich bleibt</w:t>
      </w:r>
      <w:r>
        <w:rPr>
          <w:rFonts w:cs="Arial"/>
        </w:rPr>
        <w:t>. Funktionen wie die begrenzte Türöffnung in Abhängigkeit der Knickwinkelsensorik, Einklemmschutz und Einklemmerkennung müssen präzise in der bestehenden Form erhalten bleiben.</w:t>
      </w:r>
    </w:p>
    <w:p w14:paraId="4B06A869" w14:textId="77777777" w:rsidR="006208FC" w:rsidRPr="006E10AB" w:rsidRDefault="006208FC" w:rsidP="00ED5F4A">
      <w:pPr>
        <w:rPr>
          <w:rFonts w:cs="Arial"/>
        </w:rPr>
      </w:pPr>
      <w:r>
        <w:rPr>
          <w:rFonts w:cs="Arial"/>
        </w:rPr>
        <w:lastRenderedPageBreak/>
        <w:t>Darüber hinaus muss die Sicherheitsarchitektur des MT24 vollständig reproduziert werden. Dies umfasst die Unterteilung der Hardware in sichere und nicht sichere Funktionsbereiche sowie die Reaktion der Steuerung auf sicherheitsrelevante Eingangssignale. Ein unkontrolliertes Öffnen der Tür muss auch bei einem Hardware- oder Softwareerstfehler zuverlässig ausgeschlossen sein. Das Reversierverhalten bei Erkennung eines Hindernisses während der Öffnungs- oder Schließphase muss mit derselben Logik wie im bisherigen System erfolgen. Die Kombination aus Zeit-/Wegüberwachung und Motorstromanalyse muss in gleicher Weise angewendet werden, sodass die Tür beim Überschreiten definierter Schwellen reversiert, einen weiteren Öffnungsversuch ausführt oder den Vorgang abbricht, sofern die maximale Anzahl zulässiger Reversierversuche erreicht ist.</w:t>
      </w:r>
    </w:p>
    <w:p w14:paraId="5977B429" w14:textId="77777777" w:rsidR="006208FC" w:rsidRPr="006E10AB" w:rsidRDefault="006208FC" w:rsidP="00ED5F4A">
      <w:pPr>
        <w:rPr>
          <w:rFonts w:cs="Arial"/>
        </w:rPr>
      </w:pPr>
      <w:r>
        <w:rPr>
          <w:rFonts w:cs="Arial"/>
        </w:rPr>
        <w:t>Die Türsteuerung muss vollständig kompatibel zu allen bestehenden türinternen Sensoren und Aktoren sein. Dazu gehören der digitale Wegsensor, der Motoranschluss einschließlich seiner Stromtragfähigkeit, alle Taster im Innen- und Außenbereich, der Service-Taster, die Lichtschranke sowie die elektrische Schaltleiste im Fingerschutzgummi. Auch sämtliche Ausgänge, wie die Abfahrtleuchte im Türblatt, die Abfahrtsleuchte in der Türvoute, die Einstiegsbeleuchtung sowie die Versorgung und Beleuchtung der Türtaster, müssen hardware- und funktionstechnisch identisch weiter betrieben werden können.</w:t>
      </w:r>
    </w:p>
    <w:p w14:paraId="604777F0" w14:textId="31F68A4D" w:rsidR="006208FC" w:rsidRPr="006E10AB" w:rsidRDefault="006208FC" w:rsidP="00ED5F4A">
      <w:pPr>
        <w:rPr>
          <w:rFonts w:cs="Arial"/>
        </w:rPr>
      </w:pPr>
      <w:r>
        <w:rPr>
          <w:rFonts w:cs="Arial"/>
        </w:rPr>
        <w:t xml:space="preserve">Eine vollständige Kompatibilität zur bestehenden </w:t>
      </w:r>
      <w:r>
        <w:rPr>
          <w:b/>
          <w:bCs/>
        </w:rPr>
        <w:t>MVB-Kommunikation</w:t>
      </w:r>
      <w:r>
        <w:rPr>
          <w:rFonts w:cs="Arial"/>
        </w:rPr>
        <w:t xml:space="preserve"> ist zwingend notwendig. Die neue Türsteuerung muss dieselben MVB-Signale empfangen und senden, dieselbe Adresslogik beim Aufrüsten anwenden und dieselben Signalbelegungen nutzen. Der Betreiber darf weder Änderungen an der VTCU noch an Fahrzeugtelegrammen durchführen müssen. Das Telegrammverhalten muss zeitlich und logisch unverändert bleiben, damit das Fahrzeugsteuerungssystem die Türsteuerung ohne weitere Anpassungen erkennt und verarbeitet.</w:t>
      </w:r>
    </w:p>
    <w:p w14:paraId="30D1135F" w14:textId="77777777" w:rsidR="006208FC" w:rsidRPr="006E10AB" w:rsidRDefault="006208FC" w:rsidP="00ED5F4A">
      <w:pPr>
        <w:rPr>
          <w:rFonts w:cs="Arial"/>
        </w:rPr>
      </w:pPr>
      <w:r>
        <w:rPr>
          <w:rFonts w:cs="Arial"/>
        </w:rPr>
        <w:t>Weiterhin muss die Steuerung eine Diagnoseschnittstelle bereitstellen, die den Funktionsumfang der bisherigen RS232-Schnittstelle des MT24 vollständig widerspiegelt. Die Diagnose muss das Auslesen von Fehlerspeichern, Weg- und Motorstromprofilen, Statusinformationen sowie die Möglichkeit zur Durchführung von Softwareupdates bieten. Die Diagnoseschnittstelle darf modernisiert werden (z. B. USB), muss jedoch alle technischen Diagnosefunktionen des bisherigen Systems in vollem Umfang unterstützen.</w:t>
      </w:r>
    </w:p>
    <w:p w14:paraId="5FE0ED8A" w14:textId="51C57352" w:rsidR="00DF12CE" w:rsidRPr="006E10AB" w:rsidRDefault="006208FC" w:rsidP="00ED5F4A">
      <w:pPr>
        <w:rPr>
          <w:rFonts w:cs="Arial"/>
          <w:b/>
          <w:bCs/>
          <w:u w:val="single"/>
        </w:rPr>
      </w:pPr>
      <w:r>
        <w:rPr>
          <w:rFonts w:cs="Arial"/>
        </w:rPr>
        <w:t xml:space="preserve">Hinsichtlich der Bauform muss das neue Gerät in den bestehenden Bauraum passen, mechanisch identisch sein oder kompatibel befestigt werden können und mit den bestehenden Steckverbindern elektrisch vollständig übereinstimmen. Sofern Adapterlösungen erforderlich sind, sind diese Bestandteil des Lieferumfangs und im Einzelpreis des Türsteuergerätes enthalten. Die Spannungsversorgung muss </w:t>
      </w:r>
      <w:r>
        <w:rPr>
          <w:rFonts w:cs="Arial"/>
        </w:rPr>
        <w:lastRenderedPageBreak/>
        <w:t>mindestens im gleichen Bereich wie beim MT24 liegen, also zwischen 18 und 30 V, und sämtliche Ströme für Motoren, Beleuchtungen und weitere Verbraucher müssen in derselben Größenordnung wie beim Originalsystem verfügbar sein.</w:t>
      </w:r>
    </w:p>
    <w:p w14:paraId="5305B2A7" w14:textId="77777777" w:rsidR="00EA4959" w:rsidRPr="006E10AB" w:rsidRDefault="006208FC" w:rsidP="00ED5F4A">
      <w:pPr>
        <w:rPr>
          <w:rFonts w:cs="Arial"/>
        </w:rPr>
      </w:pPr>
      <w:r>
        <w:rPr>
          <w:rFonts w:cs="Arial"/>
        </w:rPr>
        <w:t xml:space="preserve">Die Dokumentation der gelieferten Steuerung muss sämtliche technischen Unterlagen enthalten, darunter Schaltpläne, Prüfprotokolle, Zertifikate, Parameterlisten, Fehlermeldungslisten, Ersatzteildokumentation sowie die vollständige Software- und Hardwaredokumentation. Zudem ist ein </w:t>
      </w:r>
      <w:r>
        <w:rPr>
          <w:b/>
          <w:bCs/>
        </w:rPr>
        <w:t>Sicherheitsgutachten (CSM)</w:t>
      </w:r>
      <w:r>
        <w:rPr>
          <w:rFonts w:cs="Arial"/>
        </w:rPr>
        <w:t xml:space="preserve"> zu liefern, das eindeutig bestätigt, dass sicherheitsrelevante Funktionen und Logiken unverändert geblieben sind und keine neue Zulassung der Fahrzeuge oder der Fahrgasttüren erforderlich wird.</w:t>
      </w:r>
    </w:p>
    <w:p w14:paraId="1CA3A39C" w14:textId="77777777" w:rsidR="0090793A" w:rsidRPr="006E10AB" w:rsidRDefault="00D76C16">
      <w:pPr>
        <w:pStyle w:val="berschrift1"/>
        <w:numPr>
          <w:ilvl w:val="0"/>
          <w:numId w:val="3"/>
        </w:numPr>
        <w:jc w:val="left"/>
      </w:pPr>
      <w:bookmarkStart w:id="2" w:name="_Toc236902014"/>
      <w:bookmarkStart w:id="3" w:name="_Toc242101311"/>
      <w:r>
        <w:t>Mengengerüst und Umfang der Beschaffung</w:t>
      </w:r>
      <w:bookmarkEnd w:id="2"/>
      <w:bookmarkEnd w:id="3"/>
    </w:p>
    <w:p w14:paraId="4CC86393" w14:textId="77777777" w:rsidR="0090793A" w:rsidRPr="006E10AB" w:rsidRDefault="00D76C16">
      <w:pPr>
        <w:pStyle w:val="StandardWeb"/>
        <w:jc w:val="both"/>
      </w:pPr>
      <w:r>
        <w:rPr>
          <w:rFonts w:ascii="Arial" w:eastAsiaTheme="minorHAnsi" w:hAnsi="Arial" w:cs="Arial"/>
          <w:lang w:eastAsia="en-US"/>
        </w:rPr>
        <w:t>Die Beschaffung umfasst den Ersatz der Türsteuergeräte in insgesamt 83 Fahrzeugen der Dresdner Verkehrsbetriebe AG, aufgeteilt wie folgt:</w:t>
      </w:r>
    </w:p>
    <w:p w14:paraId="3EA0D851" w14:textId="77777777" w:rsidR="0090793A" w:rsidRPr="006E10AB" w:rsidRDefault="00D76C16" w:rsidP="0096664E">
      <w:pPr>
        <w:pStyle w:val="Aufzhlung"/>
      </w:pPr>
      <w:r>
        <w:t xml:space="preserve">40 Fahrzeuge des Typs NGT D8 DD mit je 5 Türen </w:t>
      </w:r>
      <w:r>
        <w:br/>
        <w:t>(4 Fahrgasttüren und 1 Fahrertür)</w:t>
      </w:r>
    </w:p>
    <w:p w14:paraId="3B977411" w14:textId="77777777" w:rsidR="0090793A" w:rsidRPr="006E10AB" w:rsidRDefault="00D76C16" w:rsidP="0096664E">
      <w:pPr>
        <w:pStyle w:val="Aufzhlung"/>
      </w:pPr>
      <w:r>
        <w:t xml:space="preserve">43 Fahrzeuge des Typs NGT D12 DD mit je 6 Türen </w:t>
      </w:r>
      <w:r>
        <w:br/>
        <w:t>(5 Fahrgasttüren und 1 Fahrertür)</w:t>
      </w:r>
    </w:p>
    <w:p w14:paraId="3C4C8572" w14:textId="77777777" w:rsidR="0090793A" w:rsidRPr="006E10AB" w:rsidRDefault="00D76C16">
      <w:pPr>
        <w:pStyle w:val="StandardWeb"/>
        <w:jc w:val="both"/>
      </w:pPr>
      <w:r>
        <w:rPr>
          <w:rFonts w:ascii="Arial" w:eastAsiaTheme="minorHAnsi" w:hAnsi="Arial" w:cs="Arial"/>
          <w:lang w:eastAsia="en-US"/>
        </w:rPr>
        <w:t xml:space="preserve">Daraus ergibt sich ein Gesamtbedarf von </w:t>
      </w:r>
      <w:r>
        <w:rPr>
          <w:rFonts w:ascii="Arial" w:eastAsiaTheme="minorHAnsi" w:hAnsi="Arial" w:cs="Arial"/>
          <w:b/>
          <w:bCs/>
          <w:lang w:eastAsia="en-US"/>
        </w:rPr>
        <w:t>458 Türen</w:t>
      </w:r>
      <w:r>
        <w:rPr>
          <w:rFonts w:ascii="Arial" w:eastAsiaTheme="minorHAnsi" w:hAnsi="Arial" w:cs="Arial"/>
          <w:lang w:eastAsia="en-US"/>
        </w:rPr>
        <w:t xml:space="preserve"> (200 Türen bei NGT D8 DD zzgl. 258 Türen bei NGT D12 DD).</w:t>
      </w:r>
    </w:p>
    <w:p w14:paraId="5EA83503" w14:textId="77777777" w:rsidR="0090793A" w:rsidRPr="006E10AB" w:rsidRDefault="00D76C16">
      <w:pPr>
        <w:pStyle w:val="StandardWeb"/>
        <w:jc w:val="both"/>
      </w:pPr>
      <w:r>
        <w:rPr>
          <w:rFonts w:ascii="Arial" w:eastAsiaTheme="minorHAnsi" w:hAnsi="Arial" w:cs="Arial"/>
          <w:lang w:eastAsia="en-US"/>
        </w:rPr>
        <w:t>Das Türsteuergerät ist für beide Fahrzeugtypen baugleich, da sich NGT D8 DD und NGT D12 DD ausschließlich in der Fahrzeuglänge, nicht jedoch in der Tür- und Steuerungstechnik unterscheiden.</w:t>
      </w:r>
    </w:p>
    <w:p w14:paraId="7606A2AE" w14:textId="1EE5F0A0" w:rsidR="0090793A" w:rsidRPr="006E10AB" w:rsidRDefault="00D76C16">
      <w:pPr>
        <w:pStyle w:val="StandardWeb"/>
        <w:jc w:val="both"/>
      </w:pPr>
      <w:r>
        <w:rPr>
          <w:rFonts w:ascii="Arial" w:eastAsiaTheme="minorHAnsi" w:hAnsi="Arial" w:cs="Arial"/>
          <w:lang w:eastAsia="en-US"/>
        </w:rPr>
        <w:t>Je Tür ist ein eigenständiges Türsteuergerät einzusetzen. Lösungen, bei denen ein Gerät mehrere Türen ansteuert, sind ausgeschlossen.</w:t>
      </w:r>
    </w:p>
    <w:p w14:paraId="779BF14E" w14:textId="7F88A158" w:rsidR="0090793A" w:rsidRPr="007F6F40" w:rsidRDefault="00D76C16" w:rsidP="007F6F40">
      <w:pPr>
        <w:pStyle w:val="StandardWeb"/>
        <w:jc w:val="both"/>
      </w:pPr>
      <w:r>
        <w:rPr>
          <w:rFonts w:ascii="Arial" w:eastAsiaTheme="minorEastAsia" w:hAnsi="Arial" w:cs="Arial"/>
          <w:lang w:eastAsia="en-US"/>
        </w:rPr>
        <w:t>Hinweis zur Option Fahrertürsteuergerät (siehe § 7 (3)): Die Fahrertüren (1 je Fahrzeug, insgesamt 83 Geräte) werden im Regelbetrieb nicht über die Fahrzeugsteuerung (MVB) angesteuert. Für diese Türen ist daher als Option ein vereinfachtes Türsteuergerät ohne MVB-Modul anzubieten.</w:t>
      </w:r>
    </w:p>
    <w:p w14:paraId="34854688" w14:textId="77777777" w:rsidR="00BC434A" w:rsidRPr="006E10AB" w:rsidRDefault="00A946C5" w:rsidP="00ED5F4A">
      <w:pPr>
        <w:pStyle w:val="berschrift1"/>
        <w:numPr>
          <w:ilvl w:val="0"/>
          <w:numId w:val="3"/>
        </w:numPr>
      </w:pPr>
      <w:bookmarkStart w:id="4" w:name="_Toc236902015"/>
      <w:bookmarkStart w:id="5" w:name="_Toc242101312"/>
      <w:r>
        <w:t>Rahmenbedingungen</w:t>
      </w:r>
      <w:bookmarkEnd w:id="4"/>
      <w:bookmarkEnd w:id="5"/>
    </w:p>
    <w:p w14:paraId="77EF995B" w14:textId="7FB2B989" w:rsidR="00622E0B" w:rsidRDefault="00622E0B" w:rsidP="00682DE9">
      <w:pPr>
        <w:pStyle w:val="StandardWeb"/>
        <w:jc w:val="both"/>
        <w:rPr>
          <w:rFonts w:ascii="Arial" w:eastAsiaTheme="minorHAnsi" w:hAnsi="Arial" w:cs="Arial"/>
          <w:lang w:eastAsia="en-US"/>
        </w:rPr>
      </w:pPr>
      <w:r>
        <w:rPr>
          <w:rFonts w:ascii="Arial" w:eastAsiaTheme="minorHAnsi" w:hAnsi="Arial" w:cs="Arial"/>
          <w:lang w:eastAsia="en-US"/>
        </w:rPr>
        <w:t>Der Auftragnehmer muss nach ISO 9001, ISO 14001 und ISO 45001 oder nach vergleichbaren, gleichwertigen anerkannten Standards zertifiziert sein, um sicherzustellen, dass Entwicklung und Produktion unter nachvollziehbaren und reproduzierbaren Qualitätsstandards erfolgen.</w:t>
      </w:r>
    </w:p>
    <w:p w14:paraId="3DDB42FA" w14:textId="77777777" w:rsidR="00682DE9" w:rsidRPr="006E10AB" w:rsidRDefault="00682DE9" w:rsidP="00682DE9">
      <w:pPr>
        <w:pStyle w:val="StandardWeb"/>
        <w:jc w:val="both"/>
        <w:rPr>
          <w:rFonts w:ascii="Arial" w:eastAsiaTheme="minorHAnsi" w:hAnsi="Arial" w:cs="Arial"/>
          <w:lang w:eastAsia="en-US"/>
        </w:rPr>
      </w:pPr>
      <w:r>
        <w:rPr>
          <w:rFonts w:ascii="Arial" w:eastAsiaTheme="minorHAnsi" w:hAnsi="Arial" w:cs="Arial"/>
          <w:lang w:eastAsia="en-US"/>
        </w:rPr>
        <w:lastRenderedPageBreak/>
        <w:t>Die Türsteuerung muss zusätzlich den bahnspezifischen Normen EN 50126, EN 50128, EN 50129 entsprechen und nach EN 50155 oder vergleichbaren, gleichwertigen anerkannten Standards zertifiziert sein. Diese decken Anforderungen an funktionale Sicherheit, Softwareentwicklung sowie Betriebsverhalten unter Temperatur-, Feuchte-, Vibrations- und Schockbedingungen ab.</w:t>
      </w:r>
    </w:p>
    <w:p w14:paraId="1FA541AC" w14:textId="77777777" w:rsidR="00682DE9" w:rsidRPr="006E10AB" w:rsidRDefault="00682DE9" w:rsidP="00682DE9">
      <w:pPr>
        <w:pStyle w:val="StandardWeb"/>
        <w:jc w:val="both"/>
        <w:rPr>
          <w:rFonts w:ascii="Arial" w:eastAsiaTheme="minorHAnsi" w:hAnsi="Arial" w:cs="Arial"/>
          <w:lang w:eastAsia="en-US"/>
        </w:rPr>
      </w:pPr>
      <w:r>
        <w:rPr>
          <w:rFonts w:ascii="Arial" w:eastAsiaTheme="minorHAnsi" w:hAnsi="Arial" w:cs="Arial"/>
          <w:lang w:eastAsia="en-US"/>
        </w:rPr>
        <w:t>Darüber hinaus sind die Anforderungen an Datenschutz, Informationssicherheit und Produktsicherheit zu berücksichtigen. Soweit die angebotene Türsteuerung digitale Komponenten, Software, Diagnosefunktionen, Schnittstellen oder netzwerkfähige Dienste beinhaltet, sind die Anforderungen des Cyber Resilience Act (CRA), Verordnung (EU) 2024/2847, einzuhalten bzw. nachvollziehbar zu bewerten. Der Auftragnehmer hat hierzu eine entsprechende Erklärung sowie geeignete Nachweise zur IT-Sicherheit des Produktes bereitzustellen.</w:t>
      </w:r>
    </w:p>
    <w:p w14:paraId="06D04DB1" w14:textId="6DFCB593" w:rsidR="00682DE9" w:rsidRPr="006E10AB" w:rsidRDefault="00682DE9" w:rsidP="00682DE9">
      <w:pPr>
        <w:pStyle w:val="StandardWeb"/>
        <w:jc w:val="both"/>
        <w:rPr>
          <w:rFonts w:ascii="Arial" w:eastAsiaTheme="minorHAnsi" w:hAnsi="Arial" w:cs="Arial"/>
          <w:lang w:eastAsia="en-US"/>
        </w:rPr>
      </w:pPr>
      <w:r>
        <w:rPr>
          <w:rFonts w:ascii="Arial" w:eastAsiaTheme="minorHAnsi" w:hAnsi="Arial" w:cs="Arial"/>
          <w:lang w:eastAsia="en-US"/>
        </w:rPr>
        <w:t>Zusätzlich ist durch den Auftragnehmer eine KRITIS-relevante Bewertung im Rahmen der Vertragsdurchführung bereitzustellen. Diese Bewertung muss darstellen, ob und in welchem Umfang die angebotene Türsteuerung, deren Diagnosefunktionen, Schnittstellen oder Softwareupdates Auswirkungen auf KRITIS-Anforderungen, Informationssicherheit oder den sicheren Betrieb der Fahrzeuge haben können.</w:t>
      </w:r>
    </w:p>
    <w:p w14:paraId="00412093" w14:textId="5C606F2D" w:rsidR="00682DE9" w:rsidRPr="006E10AB" w:rsidRDefault="00682DE9" w:rsidP="00682DE9">
      <w:pPr>
        <w:pStyle w:val="StandardWeb"/>
        <w:jc w:val="both"/>
        <w:rPr>
          <w:rFonts w:ascii="Arial" w:eastAsiaTheme="minorHAnsi" w:hAnsi="Arial" w:cs="Arial"/>
          <w:lang w:eastAsia="en-US"/>
        </w:rPr>
      </w:pPr>
      <w:r>
        <w:rPr>
          <w:rFonts w:ascii="Arial" w:eastAsiaTheme="minorHAnsi" w:hAnsi="Arial" w:cs="Arial"/>
          <w:lang w:eastAsia="en-US"/>
        </w:rPr>
        <w:t>Der Auftragnehmer verpflichtet sich, das angebotene Türsteuergerät bis mindestens 31.12.2045 lieferfähig zu halten. Bei Abkündigung von Bauteilen stellt er auf eigene Kosten einen funktions-, schnittstellen- und bauraumgleichen Ersatz bereit, der keine erneute Zulassung erfordert. Der Auftraggeber ist mindestens 6 Monate vor einer Abkündigung zu informieren. Diese Anforderung ist ein Ausschlusskriterium (Ziffer 4.5.2 der Angebotsbedingungen).</w:t>
      </w:r>
    </w:p>
    <w:p w14:paraId="5D8B4D64" w14:textId="77777777" w:rsidR="00EA3314" w:rsidRDefault="0082165F">
      <w:pPr>
        <w:pStyle w:val="StandardWeb"/>
        <w:jc w:val="both"/>
      </w:pPr>
      <w:r>
        <w:rPr>
          <w:rFonts w:ascii="Arial" w:eastAsiaTheme="minorHAnsi" w:hAnsi="Arial" w:cs="Arial"/>
          <w:lang w:eastAsia="en-US"/>
        </w:rPr>
        <w:t>Eine Schulung des Werkstattpersonals vor Ort (Einbau, Diagnose, Parametrierung) ist Bestandteil der Leistung und mit den Einmalkosten gemäß Preisblatt (Anlage_02, Abschnitt 2) abgegolten.</w:t>
      </w:r>
    </w:p>
    <w:p w14:paraId="4424D2B1" w14:textId="77777777" w:rsidR="00682DE9" w:rsidRPr="006E10AB" w:rsidRDefault="00682DE9" w:rsidP="00682DE9">
      <w:pPr>
        <w:pStyle w:val="StandardWeb"/>
        <w:jc w:val="both"/>
        <w:rPr>
          <w:rFonts w:ascii="Arial" w:eastAsiaTheme="minorHAnsi" w:hAnsi="Arial" w:cs="Arial"/>
          <w:lang w:eastAsia="en-US"/>
        </w:rPr>
      </w:pPr>
      <w:r>
        <w:rPr>
          <w:rFonts w:ascii="Arial" w:eastAsiaTheme="minorHAnsi" w:hAnsi="Arial" w:cs="Arial"/>
          <w:lang w:eastAsia="en-US"/>
        </w:rPr>
        <w:t>Der erste Fahrzeugeinbau/Inbetriebsetzung der neuen Steuerung muss für beide Fahrzeugtypen gemeinsam mit dem Auftragnehmer durchgeführt und die Funktionsgleichheit in einem Typtest nachgewiesen sowie alle Parameter, Signale und Abläufe im Realbetrieb validiert werden. Ein detailliertes Prüf- und Abnahmeprotokoll ist im Rahmen dieses Ersteinbaus durch den Auftragnehmer auf Basis der Anforderungen des Auftraggebers zu erstellen und durch den Auftraggeber freizugeben.</w:t>
      </w:r>
    </w:p>
    <w:p w14:paraId="53B39E9A" w14:textId="77777777" w:rsidR="00CC63CA" w:rsidRPr="006E10AB" w:rsidRDefault="00682DE9" w:rsidP="00682DE9">
      <w:pPr>
        <w:pStyle w:val="StandardWeb"/>
        <w:spacing w:before="0" w:beforeAutospacing="0"/>
        <w:jc w:val="both"/>
        <w:rPr>
          <w:rFonts w:ascii="Arial" w:eastAsiaTheme="minorHAnsi" w:hAnsi="Arial" w:cs="Arial"/>
          <w:lang w:eastAsia="en-US"/>
        </w:rPr>
      </w:pPr>
      <w:r>
        <w:rPr>
          <w:rFonts w:ascii="Arial" w:eastAsiaTheme="minorHAnsi" w:hAnsi="Arial" w:cs="Arial"/>
          <w:lang w:eastAsia="en-US"/>
        </w:rPr>
        <w:t>Ein wesentliches Rahmenkriterium besteht darin, dass die neue Türsteuerung so entwickelt und gebaut ist, dass sie gemäß § 62 der BOStrab als „Bauteil gleicher Funktion und Leistung“ eingestuft werden kann und somit keine Neuzulassung bzw. keine Inbetriebnahmegenehmigung des Fahrzeugs oder der Fahrgasttüren/Türsteuerung durch die Technische Aufsichtsbehörde (TAB) notwendig ist (siehe § 1). Der Auftragnehmer hat alle hierfür erforderlichen Nachweise, Dokumente und Gutachten bereitzustellen und zu koordinieren.</w:t>
      </w:r>
    </w:p>
    <w:p w14:paraId="2CD84CAB" w14:textId="77777777" w:rsidR="00E23116" w:rsidRPr="006E10AB" w:rsidRDefault="00E23116" w:rsidP="00ED5F4A">
      <w:pPr>
        <w:pStyle w:val="berschrift1"/>
        <w:numPr>
          <w:ilvl w:val="0"/>
          <w:numId w:val="3"/>
        </w:numPr>
        <w:ind w:left="709" w:hanging="709"/>
      </w:pPr>
      <w:bookmarkStart w:id="6" w:name="_Toc236902016"/>
      <w:bookmarkStart w:id="7" w:name="_Toc242101313"/>
      <w:r>
        <w:lastRenderedPageBreak/>
        <w:t>Technische Grundforderungen</w:t>
      </w:r>
      <w:bookmarkEnd w:id="6"/>
      <w:bookmarkEnd w:id="7"/>
    </w:p>
    <w:p w14:paraId="010203FB" w14:textId="77777777" w:rsidR="00E23116" w:rsidRPr="006E10AB" w:rsidRDefault="00E23116" w:rsidP="00ED5F4A">
      <w:pPr>
        <w:pStyle w:val="Aufzhlung"/>
        <w:jc w:val="both"/>
      </w:pPr>
      <w:r>
        <w:t>Nennbetriebsspannung 24 V DC bei Einhaltung der EN 50155 oder gleichwertig</w:t>
      </w:r>
    </w:p>
    <w:p w14:paraId="455F6F14" w14:textId="77777777" w:rsidR="00E23116" w:rsidRPr="006E10AB" w:rsidRDefault="00E23116" w:rsidP="00ED5F4A">
      <w:pPr>
        <w:pStyle w:val="Aufzhlung"/>
        <w:jc w:val="both"/>
      </w:pPr>
      <w:r>
        <w:t>Nach einer Betriebsspannungsunterbrechung muss das System bei deren Wiederkehr wieder automatisch starten und ordnungsgemäß weiterarbeiten.</w:t>
      </w:r>
    </w:p>
    <w:p w14:paraId="79352343" w14:textId="77777777" w:rsidR="00E23116" w:rsidRPr="006E10AB" w:rsidRDefault="001832CE" w:rsidP="00ED5F4A">
      <w:pPr>
        <w:pStyle w:val="Aufzhlung"/>
        <w:jc w:val="both"/>
      </w:pPr>
      <w:r>
        <w:t>Das Türsteuergerät muss mindestens der Temperaturklasse OT3 (EN 50155 oder gleichwertig) gerecht werden. Innerhalb der Temperaturklasse OT6 (EN 50155 oder gleichwertig) darf das System keine bleibenden Schäden erleiden und muss im Betriebstemperaturbereich automatisch wieder weiterarbeiten.</w:t>
      </w:r>
    </w:p>
    <w:p w14:paraId="0696B435" w14:textId="77777777" w:rsidR="00E23116" w:rsidRPr="006E10AB" w:rsidRDefault="00E23116" w:rsidP="00ED5F4A">
      <w:pPr>
        <w:pStyle w:val="Aufzhlung"/>
        <w:jc w:val="both"/>
      </w:pPr>
      <w:r>
        <w:t>Anforderungen bezüglich Vibrationen und Schock: EN 50155 und DIN EN 61373: Kategorie 1, Klasse B oder gleichwertig</w:t>
      </w:r>
    </w:p>
    <w:p w14:paraId="5E8C1A43" w14:textId="77777777" w:rsidR="001832CE" w:rsidRPr="006E10AB" w:rsidRDefault="001832CE" w:rsidP="00ED5F4A">
      <w:pPr>
        <w:pStyle w:val="Aufzhlung"/>
        <w:jc w:val="both"/>
      </w:pPr>
      <w:r>
        <w:t>Anforderungen aus den vorherrschenden Umgebungsbedingungen: Einhaltung der EN 50125-1 oder gleichwertig</w:t>
      </w:r>
    </w:p>
    <w:p w14:paraId="3FD86158" w14:textId="77777777" w:rsidR="00E23116" w:rsidRPr="006E10AB" w:rsidRDefault="00E23116" w:rsidP="00ED5F4A">
      <w:pPr>
        <w:pStyle w:val="Aufzhlung"/>
        <w:jc w:val="both"/>
      </w:pPr>
      <w:r>
        <w:t xml:space="preserve">Anforderungen bezüglich EMV: Einhaltung der Forderungen aus EN 50155, EN 50121 und EN 61000 oder gleichwertig, </w:t>
      </w:r>
    </w:p>
    <w:p w14:paraId="0F9DCEB4" w14:textId="6611B5B8" w:rsidR="00E23116" w:rsidRPr="006E10AB" w:rsidRDefault="00E23116" w:rsidP="00D23BCB">
      <w:pPr>
        <w:pStyle w:val="Aufzhlung"/>
        <w:jc w:val="both"/>
      </w:pPr>
      <w:r>
        <w:t>Anforderungen bezüglich des Brandschutzes: EN 45545 (Betriebsklasse 1, Bauartklasse N und Gefährdungsklasse HL1) oder gleichwertig</w:t>
      </w:r>
    </w:p>
    <w:p w14:paraId="340F88DD" w14:textId="77777777" w:rsidR="00E23116" w:rsidRPr="007F6F40" w:rsidRDefault="00E23116" w:rsidP="00ED5F4A">
      <w:pPr>
        <w:pStyle w:val="Aufzhlung"/>
        <w:jc w:val="both"/>
      </w:pPr>
      <w:r>
        <w:t>Falls Stützbatterien eingesetzt werden, muss deren Ladezustand eigenständig überwacht und eine Grenzwertunterschreitung automatisch signalisiert werden.</w:t>
      </w:r>
    </w:p>
    <w:p w14:paraId="530245F9" w14:textId="77777777" w:rsidR="0090793A" w:rsidRDefault="00D76C16">
      <w:pPr>
        <w:pStyle w:val="berschrift1"/>
        <w:numPr>
          <w:ilvl w:val="0"/>
          <w:numId w:val="3"/>
        </w:numPr>
        <w:jc w:val="left"/>
      </w:pPr>
      <w:bookmarkStart w:id="8" w:name="_Toc236902018"/>
      <w:bookmarkStart w:id="9" w:name="_Toc242101314"/>
      <w:r>
        <w:t>Fristen und Zeitplan</w:t>
      </w:r>
      <w:bookmarkEnd w:id="8"/>
      <w:bookmarkEnd w:id="9"/>
    </w:p>
    <w:p w14:paraId="19434A6F" w14:textId="26876676" w:rsidR="00CC63CA" w:rsidRPr="00CC63CA" w:rsidRDefault="00CC63CA" w:rsidP="00CC63CA">
      <w:pPr>
        <w:pStyle w:val="Textkrper"/>
        <w:spacing w:before="100" w:beforeAutospacing="1" w:after="100" w:afterAutospacing="1"/>
        <w:rPr>
          <w:sz w:val="16"/>
        </w:rPr>
      </w:pPr>
      <w:r>
        <w:t>Die Fristen des Vergabeverfahrens ergeben sich aus dem Anschreiben und den Angebotsbedingungen. Für die Leistungserbringung gelten folgende Termine:</w:t>
      </w:r>
    </w:p>
    <w:p w14:paraId="377D3C48" w14:textId="0DBADDEE" w:rsidR="0090793A" w:rsidRPr="006E10AB" w:rsidRDefault="00D76C16" w:rsidP="00215967">
      <w:pPr>
        <w:pStyle w:val="Aufzhlung"/>
      </w:pPr>
      <w:r>
        <w:rPr>
          <w:b/>
          <w:bCs/>
        </w:rPr>
        <w:t>Abschluss Entwicklung / Konstruktionsfreigabe</w:t>
      </w:r>
      <w:r>
        <w:t xml:space="preserve">: </w:t>
      </w:r>
      <w:r>
        <w:br/>
      </w:r>
      <w:r>
        <w:rPr>
          <w:highlight w:val="yellow"/>
        </w:rPr>
        <w:t xml:space="preserve">durch Bieter im Preisblatt (Anlage_02) anzugeben </w:t>
      </w:r>
      <w:r>
        <w:br/>
        <w:t>(Wertungskriterium Termintreue, siehe Ziffer 5.10 der Angebotsbedingungen)</w:t>
      </w:r>
    </w:p>
    <w:p w14:paraId="37774C8A" w14:textId="77777777" w:rsidR="00104433" w:rsidRDefault="00D76C16" w:rsidP="00215967">
      <w:pPr>
        <w:pStyle w:val="Aufzhlung"/>
      </w:pPr>
      <w:r>
        <w:rPr>
          <w:b/>
          <w:bCs/>
        </w:rPr>
        <w:t>Erstmusterbau und -prüfung (Typtest):</w:t>
      </w:r>
      <w:r>
        <w:t xml:space="preserve"> </w:t>
      </w:r>
    </w:p>
    <w:p w14:paraId="5A7E7577" w14:textId="24D26B9E" w:rsidR="0090793A" w:rsidRPr="006E10AB" w:rsidRDefault="00104433" w:rsidP="00104433">
      <w:pPr>
        <w:pStyle w:val="Aufzhlung"/>
        <w:numPr>
          <w:ilvl w:val="0"/>
          <w:numId w:val="0"/>
        </w:numPr>
        <w:ind w:left="360"/>
      </w:pPr>
      <w:r>
        <w:rPr>
          <w:highlight w:val="yellow"/>
        </w:rPr>
        <w:t xml:space="preserve">durch Bieter im Preisblatt (Anlage_02) anzugeben </w:t>
      </w:r>
      <w:r>
        <w:br/>
        <w:t>(Wertungskriterium Termintreue, siehe Ziffer 5.10 der Angebotsbedingungen)</w:t>
      </w:r>
    </w:p>
    <w:p w14:paraId="2F9681AD" w14:textId="77777777" w:rsidR="00104433" w:rsidRDefault="00D76C16" w:rsidP="00215967">
      <w:pPr>
        <w:pStyle w:val="Aufzhlung"/>
      </w:pPr>
      <w:r>
        <w:rPr>
          <w:b/>
          <w:bCs/>
        </w:rPr>
        <w:t>Vorlage Sicherheitsgutachten:</w:t>
      </w:r>
      <w:r>
        <w:t xml:space="preserve"> </w:t>
      </w:r>
    </w:p>
    <w:p w14:paraId="406D31DE" w14:textId="68696D64" w:rsidR="0090793A" w:rsidRPr="006E10AB" w:rsidRDefault="00104433" w:rsidP="00104433">
      <w:pPr>
        <w:pStyle w:val="Aufzhlung"/>
        <w:numPr>
          <w:ilvl w:val="0"/>
          <w:numId w:val="0"/>
        </w:numPr>
        <w:ind w:left="360"/>
      </w:pPr>
      <w:r>
        <w:rPr>
          <w:highlight w:val="yellow"/>
        </w:rPr>
        <w:t xml:space="preserve">durch Bieter im Preisblatt (Anlage_02) anzugeben </w:t>
      </w:r>
      <w:r>
        <w:br/>
        <w:t>(Wertungskriterium Termintreue, siehe Ziffer 5.10 der Angebotsbedingungen)</w:t>
      </w:r>
    </w:p>
    <w:p w14:paraId="381EF11C" w14:textId="6BB05E79" w:rsidR="0090793A" w:rsidRPr="00CA1887" w:rsidRDefault="00D76C16" w:rsidP="00215967">
      <w:pPr>
        <w:pStyle w:val="Aufzhlung"/>
      </w:pPr>
      <w:r>
        <w:rPr>
          <w:b/>
          <w:bCs/>
        </w:rPr>
        <w:t>Einbau und Erprobung der Pilotgeräte:</w:t>
      </w:r>
      <w:r>
        <w:t xml:space="preserve"> 01.01.2028 (Referenz-Stichtag Bewertungsmatrix Termintreue, siehe Ziffer 5.10 der Angebotsbedingungen)</w:t>
      </w:r>
    </w:p>
    <w:p w14:paraId="16148263" w14:textId="77777777" w:rsidR="0090793A" w:rsidRPr="006E10AB" w:rsidRDefault="00D76C16" w:rsidP="00215967">
      <w:pPr>
        <w:pStyle w:val="Aufzhlung"/>
      </w:pPr>
      <w:r>
        <w:rPr>
          <w:b/>
          <w:bCs/>
        </w:rPr>
        <w:t>Beginn Serienumbau</w:t>
      </w:r>
      <w:r>
        <w:t>: ab 2030, ca. 8–10 Fahrzeuge pro Jahr</w:t>
      </w:r>
    </w:p>
    <w:p w14:paraId="2BDAC0D2" w14:textId="77777777" w:rsidR="0090793A" w:rsidRDefault="00D76C16" w:rsidP="00215967">
      <w:pPr>
        <w:pStyle w:val="Aufzhlung"/>
      </w:pPr>
      <w:r>
        <w:rPr>
          <w:b/>
          <w:bCs/>
        </w:rPr>
        <w:t>Abschluss Serienumbau (alle 83 Fahrzeuge):</w:t>
      </w:r>
      <w:r>
        <w:t xml:space="preserve"> bis 2038</w:t>
      </w:r>
    </w:p>
    <w:p w14:paraId="0223FC41" w14:textId="682526F7" w:rsidR="0090793A" w:rsidRDefault="00D76C16">
      <w:pPr>
        <w:pStyle w:val="berschrift1"/>
        <w:numPr>
          <w:ilvl w:val="0"/>
          <w:numId w:val="3"/>
        </w:numPr>
        <w:jc w:val="left"/>
      </w:pPr>
      <w:bookmarkStart w:id="10" w:name="_Toc236902019"/>
      <w:bookmarkStart w:id="11" w:name="_Toc242101315"/>
      <w:r>
        <w:lastRenderedPageBreak/>
        <w:t>Vergütung</w:t>
      </w:r>
      <w:bookmarkEnd w:id="10"/>
      <w:bookmarkEnd w:id="11"/>
    </w:p>
    <w:p w14:paraId="3990F36D" w14:textId="2BFC2450" w:rsidR="00846C8B" w:rsidRPr="00846C8B" w:rsidRDefault="00846C8B" w:rsidP="00846C8B">
      <w:r>
        <w:t>Vergütung, Zahlungsbedingungen und Fälligkeiten richten sich ausschließlich nach dem Vertrag (insbesondere Ziffern 11.5 und 12.3). Die Preisangaben erfolgen gemäß Preisblatt (Anlage_02).</w:t>
      </w:r>
    </w:p>
    <w:p w14:paraId="10D9DB43" w14:textId="77777777" w:rsidR="00FB5524" w:rsidRPr="006E10AB" w:rsidRDefault="00682DE9" w:rsidP="006E7F04">
      <w:pPr>
        <w:pStyle w:val="berschrift1"/>
        <w:numPr>
          <w:ilvl w:val="0"/>
          <w:numId w:val="3"/>
        </w:numPr>
        <w:jc w:val="left"/>
      </w:pPr>
      <w:bookmarkStart w:id="12" w:name="_Toc236902021"/>
      <w:bookmarkStart w:id="13" w:name="_Toc242101316"/>
      <w:r>
        <w:t>Optionen</w:t>
      </w:r>
      <w:bookmarkEnd w:id="12"/>
      <w:bookmarkEnd w:id="13"/>
    </w:p>
    <w:p w14:paraId="10BD50DD" w14:textId="6168A841" w:rsidR="0090793A" w:rsidRPr="006E10AB" w:rsidRDefault="00D76C16">
      <w:pPr>
        <w:pStyle w:val="StandardWeb"/>
        <w:jc w:val="both"/>
      </w:pPr>
      <w:r>
        <w:rPr>
          <w:rFonts w:ascii="Arial" w:hAnsi="Arial" w:cs="Arial"/>
        </w:rPr>
        <w:t>Die nachfolgenden Optionen sind vom Bieter verbindlich anzubieten und im Preisblatt (Anlage_02, Abschnitt 3) zu bepreisen (Pflichtoptionen). Ein Angebot ohne vollständige Optionspreise wird ausgeschlossen. Der Auftraggeber ist berechtigt, jede der Optionen (1) bis (3) bis zum Ablauf von 24 Monaten nach Vertragsschluss ganz oder teilweise einseitig abzurufen; ein Anspruch des Auftragnehmers auf Abruf besteht nicht. Die Optionspreise sind bis zum Ende der Abruffrist bindend. Optionen fließen nicht in die Wertung ein.</w:t>
      </w:r>
    </w:p>
    <w:p w14:paraId="49D3F89D" w14:textId="1E51E982" w:rsidR="00682DE9" w:rsidRPr="006E10AB" w:rsidRDefault="00682DE9" w:rsidP="00682DE9">
      <w:pPr>
        <w:pStyle w:val="VertragNummer"/>
        <w:jc w:val="left"/>
        <w:rPr>
          <w:lang w:eastAsia="de-DE"/>
        </w:rPr>
      </w:pPr>
      <w:r>
        <w:rPr>
          <w:b/>
          <w:bCs/>
          <w:lang w:eastAsia="de-DE"/>
        </w:rPr>
        <w:t>Option LED-Zustandssignalisierung an der Tür</w:t>
      </w:r>
      <w:r>
        <w:rPr>
          <w:lang w:eastAsia="de-DE"/>
        </w:rPr>
        <w:br/>
        <w:t>Das Türsteuergerät verfügt über einen Ausgang zur Ansteuerung einer LED-Zustandssignalisierung im Fingerschutzgummi oder im Türblatt. Signalisiert werden mindestens die Zustände: bereit zum Öffnen, öffnet, offen, Schließankündigung, schließt, geschlossen/verriegelt und Störung. Die Signalisierung muss synchron zur Abfahrtleuchte des Türblattes betrieben werden können und dieselbe Blinklogik (Frequenz 1 Hz) aufweisen. Farben und Blinkmuster sind parametrierbar. Der LED-Streifen einschließlich Befestigungs- und Anschlussmaterial ist Bestandteil des Lieferumfangs der Option.</w:t>
      </w:r>
    </w:p>
    <w:p w14:paraId="5F8D9DAF" w14:textId="19C12AA4" w:rsidR="00215967" w:rsidRPr="00DC28F6" w:rsidRDefault="00682DE9" w:rsidP="00DC28F6">
      <w:pPr>
        <w:pStyle w:val="VertragNummer"/>
        <w:jc w:val="left"/>
        <w:rPr>
          <w:lang w:eastAsia="de-DE"/>
        </w:rPr>
      </w:pPr>
      <w:r>
        <w:rPr>
          <w:b/>
          <w:bCs/>
          <w:lang w:eastAsia="de-DE"/>
        </w:rPr>
        <w:t>Option modernisierte Diagnoseschnittstelle</w:t>
      </w:r>
      <w:r>
        <w:rPr>
          <w:lang w:eastAsia="de-DE"/>
        </w:rPr>
        <w:br/>
        <w:t>Zusätzlich zur RS232-Schnittstelle oder an ihrer Stelle wird eine USB- oder Ethernet-Schnittstelle (Wahl des Bieters, Angabe in Vordruck_V11, Teil 2) bereitgestellt. Sie bildet mindestens den vollständigen Funktionsumfang nach § 1 ab (Fehlerspeicher, Weg- und Motorstromprofile, Statusinformationen, Softwareupdates, Parametrierung). Die Diagnosesoftware wird mit einer unbefristeten Lizenz für 15 Zugänge geliefert; die gleichzeitige Nutzung durch alle 15 Zugänge muss möglich sein.</w:t>
      </w:r>
    </w:p>
    <w:p w14:paraId="552CC4D1" w14:textId="77777777" w:rsidR="004D5612" w:rsidRPr="006E10AB" w:rsidRDefault="004D5612" w:rsidP="004D5612">
      <w:pPr>
        <w:pStyle w:val="VertragNummer"/>
        <w:spacing w:after="0"/>
      </w:pPr>
      <w:r>
        <w:rPr>
          <w:b/>
          <w:bCs/>
        </w:rPr>
        <w:t>Option Fahrertürsteuergerät</w:t>
      </w:r>
    </w:p>
    <w:p w14:paraId="6F6CDF0E" w14:textId="01523AF0" w:rsidR="00EA3314" w:rsidRDefault="004D5612" w:rsidP="00C27100">
      <w:pPr>
        <w:pStyle w:val="VertragNummer"/>
        <w:numPr>
          <w:ilvl w:val="0"/>
          <w:numId w:val="0"/>
        </w:numPr>
        <w:ind w:left="426"/>
      </w:pPr>
      <w:r>
        <w:t>Für die Fahrertüren ist alternativ zur Basisausführung ein vereinfachtes Türsteuergerät ohne MVB-Modul anzubieten. Es ist bauraum-, stecker- und funktionskompatibel zur Fahrertür und erfüllt im Übrigen sämtliche für die Fahrertür einschlägigen Anforderungen dieser Leistungsbeschreibung. Anzugeben ist der Minderpreis je Gerät gegenüber der Basisausführung (Preisblatt, Abschnitt 3).</w:t>
      </w:r>
    </w:p>
    <w:sectPr w:rsidR="00EA3314" w:rsidSect="00AF4CD3">
      <w:headerReference w:type="default" r:id="rId15"/>
      <w:footerReference w:type="even" r:id="rId16"/>
      <w:footerReference w:type="default" r:id="rId17"/>
      <w:headerReference w:type="first" r:id="rId18"/>
      <w:pgSz w:w="11900" w:h="16840"/>
      <w:pgMar w:top="1417" w:right="1417" w:bottom="1134" w:left="1417" w:header="907"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41F64" w14:textId="77777777" w:rsidR="002103BE" w:rsidRDefault="002103BE" w:rsidP="00762D93">
      <w:r>
        <w:separator/>
      </w:r>
    </w:p>
  </w:endnote>
  <w:endnote w:type="continuationSeparator" w:id="0">
    <w:p w14:paraId="2B1A10CB" w14:textId="77777777" w:rsidR="002103BE" w:rsidRDefault="002103BE"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Com 45 Lt">
    <w:altName w:val="Arial"/>
    <w:panose1 w:val="00000000000000000000"/>
    <w:charset w:val="00"/>
    <w:family w:val="roman"/>
    <w:notTrueType/>
    <w:pitch w:val="default"/>
  </w:font>
  <w:font w:name="Helvetica Neue LT Com 75">
    <w:altName w:val="Arial"/>
    <w:charset w:val="4D"/>
    <w:family w:val="swiss"/>
    <w:pitch w:val="variable"/>
    <w:sig w:usb0="00000001" w:usb1="10002042" w:usb2="00000000" w:usb3="00000000" w:csb0="0000009B" w:csb1="00000000"/>
  </w:font>
  <w:font w:name="HelveticaNeueLT Com 75 Bd">
    <w:altName w:val="Times New Roman"/>
    <w:panose1 w:val="00000000000000000000"/>
    <w:charset w:val="00"/>
    <w:family w:val="roman"/>
    <w:notTrueType/>
    <w:pitch w:val="default"/>
  </w:font>
  <w:font w:name="Helvetica Neue LT Com 45 Light">
    <w:altName w:val="Corbel"/>
    <w:charset w:val="4D"/>
    <w:family w:val="swiss"/>
    <w:pitch w:val="variable"/>
    <w:sig w:usb0="00000001"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E8682" w14:textId="77777777" w:rsidR="00134EE2" w:rsidRDefault="00134EE2" w:rsidP="00331D2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p w14:paraId="264B2F6D" w14:textId="77777777" w:rsidR="00134EE2" w:rsidRDefault="00134EE2"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415D" w14:textId="77777777" w:rsidR="0018345E" w:rsidRPr="006A5B06" w:rsidRDefault="0018345E" w:rsidP="0018345E">
    <w:pPr>
      <w:pStyle w:val="Fuzeile"/>
      <w:pBdr>
        <w:top w:val="single" w:sz="6" w:space="12" w:color="auto"/>
      </w:pBdr>
      <w:spacing w:after="0"/>
      <w:rPr>
        <w:i/>
        <w:sz w:val="20"/>
      </w:rPr>
    </w:pPr>
    <w:r>
      <w:rPr>
        <w:iCs/>
        <w:sz w:val="20"/>
      </w:rPr>
      <w:t>Anlage_01</w:t>
    </w:r>
    <w:r w:rsidRPr="005E6A1A">
      <w:rPr>
        <w:iCs/>
        <w:sz w:val="20"/>
      </w:rPr>
      <w:t xml:space="preserve"> | </w:t>
    </w:r>
    <w:r>
      <w:rPr>
        <w:iCs/>
        <w:sz w:val="20"/>
      </w:rPr>
      <w:t>Leistungsbeschreibung</w:t>
    </w:r>
    <w:r>
      <w:rPr>
        <w:iCs/>
        <w:sz w:val="20"/>
      </w:rPr>
      <w:tab/>
    </w:r>
    <w:r w:rsidRPr="006A5B06">
      <w:rPr>
        <w:i/>
        <w:sz w:val="20"/>
      </w:rPr>
      <w:tab/>
    </w:r>
    <w:r w:rsidRPr="0032719D">
      <w:rPr>
        <w:sz w:val="20"/>
        <w:szCs w:val="20"/>
      </w:rPr>
      <w:t xml:space="preserve">Seite </w:t>
    </w:r>
    <w:r w:rsidRPr="0032719D">
      <w:rPr>
        <w:sz w:val="20"/>
        <w:szCs w:val="20"/>
      </w:rPr>
      <w:fldChar w:fldCharType="begin"/>
    </w:r>
    <w:r w:rsidRPr="0032719D">
      <w:rPr>
        <w:sz w:val="20"/>
        <w:szCs w:val="20"/>
      </w:rPr>
      <w:instrText xml:space="preserve"> PAGE   \* MERGEFORMAT </w:instrText>
    </w:r>
    <w:r w:rsidRPr="0032719D">
      <w:rPr>
        <w:sz w:val="20"/>
        <w:szCs w:val="20"/>
      </w:rPr>
      <w:fldChar w:fldCharType="separate"/>
    </w:r>
    <w:r>
      <w:rPr>
        <w:sz w:val="20"/>
        <w:szCs w:val="20"/>
      </w:rPr>
      <w:t>1</w:t>
    </w:r>
    <w:r w:rsidRPr="0032719D">
      <w:rPr>
        <w:sz w:val="20"/>
        <w:szCs w:val="20"/>
      </w:rPr>
      <w:fldChar w:fldCharType="end"/>
    </w:r>
    <w:r w:rsidRPr="0032719D">
      <w:rPr>
        <w:sz w:val="20"/>
        <w:szCs w:val="20"/>
      </w:rPr>
      <w:t xml:space="preserve"> von </w:t>
    </w:r>
    <w:r w:rsidRPr="0032719D">
      <w:rPr>
        <w:sz w:val="20"/>
        <w:szCs w:val="20"/>
      </w:rPr>
      <w:fldChar w:fldCharType="begin"/>
    </w:r>
    <w:r w:rsidRPr="0032719D">
      <w:rPr>
        <w:sz w:val="20"/>
        <w:szCs w:val="20"/>
      </w:rPr>
      <w:instrText xml:space="preserve"> NUMPAGES   \* MERGEFORMAT </w:instrText>
    </w:r>
    <w:r w:rsidRPr="0032719D">
      <w:rPr>
        <w:sz w:val="20"/>
        <w:szCs w:val="20"/>
      </w:rPr>
      <w:fldChar w:fldCharType="separate"/>
    </w:r>
    <w:r>
      <w:rPr>
        <w:sz w:val="20"/>
        <w:szCs w:val="20"/>
      </w:rPr>
      <w:t>22</w:t>
    </w:r>
    <w:r w:rsidRPr="0032719D">
      <w:rPr>
        <w:noProof/>
        <w:sz w:val="20"/>
        <w:szCs w:val="20"/>
      </w:rPr>
      <w:fldChar w:fldCharType="end"/>
    </w:r>
  </w:p>
  <w:p w14:paraId="11CC74DD" w14:textId="77777777" w:rsidR="0018345E" w:rsidRPr="00E70295" w:rsidRDefault="0018345E" w:rsidP="0018345E">
    <w:pPr>
      <w:pStyle w:val="Fuzeile"/>
      <w:pBdr>
        <w:top w:val="single" w:sz="6" w:space="12" w:color="auto"/>
      </w:pBdr>
      <w:spacing w:after="0"/>
      <w:rPr>
        <w:i/>
        <w:sz w:val="20"/>
      </w:rPr>
    </w:pPr>
    <w:r>
      <w:rPr>
        <w:i/>
        <w:sz w:val="20"/>
      </w:rPr>
      <w:t>vertraulich</w:t>
    </w:r>
    <w:r>
      <w:rPr>
        <w:i/>
        <w:sz w:val="20"/>
      </w:rPr>
      <w:tab/>
    </w:r>
    <w:r>
      <w:rPr>
        <w:i/>
        <w:sz w:val="20"/>
      </w:rPr>
      <w:tab/>
    </w:r>
  </w:p>
  <w:p w14:paraId="6BAC0139" w14:textId="77777777" w:rsidR="000D49FF" w:rsidRDefault="000D49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D05E9" w14:textId="77777777" w:rsidR="002103BE" w:rsidRDefault="002103BE" w:rsidP="00762D93">
      <w:r>
        <w:separator/>
      </w:r>
    </w:p>
  </w:footnote>
  <w:footnote w:type="continuationSeparator" w:id="0">
    <w:p w14:paraId="5B2AA3C4" w14:textId="77777777" w:rsidR="002103BE" w:rsidRDefault="002103BE"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DCA8" w14:textId="6CD6827B" w:rsidR="00134EE2" w:rsidRDefault="00E04F51" w:rsidP="006C7F2F">
    <w:pPr>
      <w:pStyle w:val="Kopfzeile"/>
      <w:tabs>
        <w:tab w:val="clear" w:pos="9072"/>
        <w:tab w:val="right" w:pos="9064"/>
      </w:tabs>
      <w:ind w:right="1800"/>
      <w:jc w:val="left"/>
      <w:rPr>
        <w:rFonts w:eastAsia="HelveticaNeueLT Com 45 Lt" w:cs="Times New Roman"/>
        <w:i/>
        <w:sz w:val="22"/>
        <w:szCs w:val="22"/>
      </w:rPr>
    </w:pPr>
    <w:r w:rsidRPr="00CC63CA">
      <w:rPr>
        <w:b/>
        <w:noProof/>
        <w:sz w:val="22"/>
        <w:szCs w:val="22"/>
      </w:rPr>
      <w:drawing>
        <wp:anchor distT="0" distB="0" distL="114300" distR="114300" simplePos="0" relativeHeight="251658243" behindDoc="1" locked="0" layoutInCell="1" allowOverlap="1" wp14:anchorId="22F9D821" wp14:editId="65E526FA">
          <wp:simplePos x="0" y="0"/>
          <wp:positionH relativeFrom="column">
            <wp:posOffset>5022850</wp:posOffset>
          </wp:positionH>
          <wp:positionV relativeFrom="page">
            <wp:posOffset>585470</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sidRPr="00CC63CA">
      <w:rPr>
        <w:b/>
        <w:noProof/>
        <w:sz w:val="22"/>
        <w:szCs w:val="22"/>
      </w:rPr>
      <mc:AlternateContent>
        <mc:Choice Requires="wps">
          <w:drawing>
            <wp:anchor distT="0" distB="0" distL="114300" distR="114300" simplePos="0" relativeHeight="251658242" behindDoc="0" locked="0" layoutInCell="1" allowOverlap="1" wp14:anchorId="23153F7B" wp14:editId="0131126D">
              <wp:simplePos x="0" y="0"/>
              <wp:positionH relativeFrom="column">
                <wp:posOffset>-893445</wp:posOffset>
              </wp:positionH>
              <wp:positionV relativeFrom="paragraph">
                <wp:posOffset>671195</wp:posOffset>
              </wp:positionV>
              <wp:extent cx="7712710" cy="0"/>
              <wp:effectExtent l="0" t="0" r="21590" b="1905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5F79C4C6">
            <v:line id="Gerader Verbinder 1906220082"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filled="t" fillcolor="#f3b000" strokecolor="#fc0" strokeweight="1pt" from="-70.35pt,52.85pt" to="536.95pt,52.85pt" w14:anchorId="3B0F13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"/>
          </w:pict>
        </mc:Fallback>
      </mc:AlternateContent>
    </w:r>
    <w:r>
      <w:rPr>
        <w:b/>
        <w:noProof/>
        <w:sz w:val="22"/>
        <w:szCs w:val="22"/>
      </w:rPr>
      <w:t>Entwicklung, Lieferung und Ersatzversorgung von Türsteuergeräten</w:t>
    </w:r>
    <w:r>
      <w:rPr>
        <w:b/>
        <w:noProof/>
        <w:sz w:val="22"/>
        <w:szCs w:val="22"/>
      </w:rPr>
      <w:br/>
      <w:t>für die Fahrzeugtypen NGT D8 DD und NGT D12 DD</w:t>
    </w:r>
    <w:r>
      <w:rPr>
        <w:b/>
        <w:noProof/>
        <w:sz w:val="22"/>
        <w:szCs w:val="22"/>
      </w:rPr>
      <w:br/>
    </w:r>
    <w:r w:rsidR="00F459C4" w:rsidRPr="00F459C4">
      <w:rPr>
        <w:rFonts w:eastAsia="HelveticaNeueLT Com 45 Lt" w:cs="Times New Roman"/>
        <w:i/>
        <w:sz w:val="22"/>
        <w:szCs w:val="22"/>
      </w:rPr>
      <w:t>Vorgangsnummer: 2026-00172</w:t>
    </w:r>
  </w:p>
  <w:p w14:paraId="207A1D95" w14:textId="77777777" w:rsidR="006C7F2F" w:rsidRPr="002465A9" w:rsidRDefault="006C7F2F" w:rsidP="006C7F2F">
    <w:pPr>
      <w:pStyle w:val="Kopfzeile"/>
      <w:tabs>
        <w:tab w:val="clear" w:pos="9072"/>
        <w:tab w:val="right" w:pos="9064"/>
      </w:tabs>
      <w:jc w:val="left"/>
      <w:rPr>
        <w:i/>
        <w:noProof/>
        <w:sz w:val="20"/>
        <w:szCs w:val="20"/>
        <w:lang w:eastAsia="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BC353" w14:textId="551F5436" w:rsidR="0018345E" w:rsidRPr="00720EA3" w:rsidRDefault="0018345E" w:rsidP="0018345E">
    <w:pPr>
      <w:tabs>
        <w:tab w:val="center" w:pos="4536"/>
        <w:tab w:val="right" w:pos="9072"/>
      </w:tabs>
      <w:ind w:right="1800"/>
      <w:jc w:val="left"/>
      <w:rPr>
        <w:i/>
        <w:sz w:val="22"/>
        <w:szCs w:val="22"/>
      </w:rPr>
    </w:pPr>
    <w:r w:rsidRPr="00720EA3">
      <w:rPr>
        <w:b/>
        <w:noProof/>
        <w:sz w:val="22"/>
        <w:szCs w:val="22"/>
      </w:rPr>
      <w:drawing>
        <wp:anchor distT="0" distB="0" distL="114300" distR="114300" simplePos="0" relativeHeight="251661315" behindDoc="1" locked="0" layoutInCell="1" allowOverlap="1" wp14:anchorId="7C666505" wp14:editId="15CD3B6C">
          <wp:simplePos x="0" y="0"/>
          <wp:positionH relativeFrom="column">
            <wp:posOffset>4742717</wp:posOffset>
          </wp:positionH>
          <wp:positionV relativeFrom="page">
            <wp:posOffset>579365</wp:posOffset>
          </wp:positionV>
          <wp:extent cx="1287145" cy="433705"/>
          <wp:effectExtent l="0" t="0" r="8255" b="4445"/>
          <wp:wrapSquare wrapText="bothSides"/>
          <wp:docPr id="459834740" name="Grafik 45983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sz w:val="22"/>
        <w:szCs w:val="22"/>
      </w:rPr>
      <w:t>Entwicklung, Lieferung und Ersatzversorgung von Türsteuergeräten</w:t>
    </w:r>
    <w:r>
      <w:rPr>
        <w:b/>
        <w:sz w:val="22"/>
        <w:szCs w:val="22"/>
      </w:rPr>
      <w:br/>
      <w:t>für die Fahrzeugtypen NGT D8 DD und NGT D12 DD</w:t>
    </w:r>
    <w:r>
      <w:rPr>
        <w:b/>
        <w:sz w:val="22"/>
        <w:szCs w:val="22"/>
      </w:rPr>
      <w:br/>
    </w:r>
    <w:r w:rsidRPr="00720EA3">
      <w:rPr>
        <w:i/>
        <w:sz w:val="22"/>
        <w:szCs w:val="22"/>
      </w:rPr>
      <w:t>Vorgangsnummer: 2026-00172</w:t>
    </w:r>
  </w:p>
  <w:p w14:paraId="74E12F4D" w14:textId="77777777" w:rsidR="000D49FF" w:rsidRPr="0018345E" w:rsidRDefault="0018345E" w:rsidP="0018345E">
    <w:pPr>
      <w:pStyle w:val="Kopfzeile"/>
      <w:tabs>
        <w:tab w:val="clear" w:pos="4536"/>
        <w:tab w:val="left" w:pos="8010"/>
      </w:tabs>
      <w:jc w:val="left"/>
      <w:rPr>
        <w:i/>
        <w:noProof/>
        <w:sz w:val="20"/>
        <w:szCs w:val="20"/>
        <w:lang w:eastAsia="de-DE"/>
      </w:rPr>
    </w:pPr>
    <w:r w:rsidRPr="00E04F51">
      <w:rPr>
        <w:b/>
        <w:noProof/>
      </w:rPr>
      <mc:AlternateContent>
        <mc:Choice Requires="wps">
          <w:drawing>
            <wp:anchor distT="0" distB="0" distL="114300" distR="114300" simplePos="0" relativeHeight="251660291" behindDoc="0" locked="0" layoutInCell="1" allowOverlap="1" wp14:anchorId="199F5D46" wp14:editId="11C9FDA8">
              <wp:simplePos x="0" y="0"/>
              <wp:positionH relativeFrom="margin">
                <wp:align>center</wp:align>
              </wp:positionH>
              <wp:positionV relativeFrom="paragraph">
                <wp:posOffset>80010</wp:posOffset>
              </wp:positionV>
              <wp:extent cx="7712710" cy="0"/>
              <wp:effectExtent l="0" t="0" r="0" b="0"/>
              <wp:wrapNone/>
              <wp:docPr id="2072968576" name="Gerader Verbinder 2072968576"/>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4248863" id="Gerader Verbinder 2072968576" o:spid="_x0000_s1026" style="position:absolute;z-index:25166029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166246"/>
    <w:lvl w:ilvl="0">
      <w:start w:val="1"/>
      <w:numFmt w:val="bullet"/>
      <w:pStyle w:val="Aufzhlungszeichen"/>
      <w:lvlText w:val=""/>
      <w:lvlJc w:val="left"/>
      <w:pPr>
        <w:tabs>
          <w:tab w:val="num" w:pos="502"/>
        </w:tabs>
        <w:ind w:left="502" w:hanging="360"/>
      </w:pPr>
      <w:rPr>
        <w:rFonts w:ascii="Symbol" w:hAnsi="Symbol" w:hint="default"/>
      </w:rPr>
    </w:lvl>
  </w:abstractNum>
  <w:abstractNum w:abstractNumId="1" w15:restartNumberingAfterBreak="0">
    <w:nsid w:val="03EB0D1A"/>
    <w:multiLevelType w:val="hybridMultilevel"/>
    <w:tmpl w:val="9FE6D2F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4370E5"/>
    <w:multiLevelType w:val="hybridMultilevel"/>
    <w:tmpl w:val="A0B8648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AC15C5"/>
    <w:multiLevelType w:val="multilevel"/>
    <w:tmpl w:val="B1E6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871D4"/>
    <w:multiLevelType w:val="hybridMultilevel"/>
    <w:tmpl w:val="2662DA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563014"/>
    <w:multiLevelType w:val="hybridMultilevel"/>
    <w:tmpl w:val="8E44324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86D4FAA"/>
    <w:multiLevelType w:val="multilevel"/>
    <w:tmpl w:val="7DBE81E4"/>
    <w:lvl w:ilvl="0">
      <w:start w:val="1"/>
      <w:numFmt w:val="decimal"/>
      <w:pStyle w:val="berschrift1"/>
      <w:lvlText w:val="§ %1"/>
      <w:lvlJc w:val="left"/>
      <w:pPr>
        <w:ind w:left="432" w:hanging="432"/>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1A7E7DF8"/>
    <w:multiLevelType w:val="multilevel"/>
    <w:tmpl w:val="D25C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B3BC7"/>
    <w:multiLevelType w:val="hybridMultilevel"/>
    <w:tmpl w:val="25D00608"/>
    <w:lvl w:ilvl="0" w:tplc="4DF073AC">
      <w:start w:val="1"/>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6C2496"/>
    <w:multiLevelType w:val="hybridMultilevel"/>
    <w:tmpl w:val="74D8087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3314EAC"/>
    <w:multiLevelType w:val="hybridMultilevel"/>
    <w:tmpl w:val="016040E4"/>
    <w:lvl w:ilvl="0" w:tplc="E0780D8A">
      <w:start w:val="1"/>
      <w:numFmt w:val="decimal"/>
      <w:pStyle w:val="VertragNummer"/>
      <w:lvlText w:val="(%1)"/>
      <w:lvlJc w:val="left"/>
      <w:pPr>
        <w:ind w:left="360" w:hanging="360"/>
      </w:pPr>
      <w:rPr>
        <w:b w:val="0"/>
        <w:bCs w:val="0"/>
      </w:rPr>
    </w:lvl>
    <w:lvl w:ilvl="1" w:tplc="04070019">
      <w:start w:val="1"/>
      <w:numFmt w:val="lowerLetter"/>
      <w:lvlText w:val="%2."/>
      <w:lvlJc w:val="left"/>
      <w:pPr>
        <w:ind w:left="1080" w:hanging="360"/>
      </w:pPr>
    </w:lvl>
    <w:lvl w:ilvl="2" w:tplc="85B4EFC0">
      <w:numFmt w:val="bullet"/>
      <w:lvlText w:val="-"/>
      <w:lvlJc w:val="left"/>
      <w:pPr>
        <w:ind w:left="1980" w:hanging="360"/>
      </w:pPr>
      <w:rPr>
        <w:rFonts w:ascii="Arial" w:eastAsiaTheme="minorHAnsi" w:hAnsi="Arial" w:cs="Arial" w:hint="default"/>
      </w:r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4D83C4A"/>
    <w:multiLevelType w:val="singleLevel"/>
    <w:tmpl w:val="0407000F"/>
    <w:lvl w:ilvl="0">
      <w:start w:val="1"/>
      <w:numFmt w:val="decimal"/>
      <w:lvlText w:val="%1."/>
      <w:lvlJc w:val="left"/>
      <w:pPr>
        <w:tabs>
          <w:tab w:val="num" w:pos="360"/>
        </w:tabs>
        <w:ind w:left="360" w:hanging="360"/>
      </w:pPr>
      <w:rPr>
        <w:rFonts w:hint="default"/>
      </w:rPr>
    </w:lvl>
  </w:abstractNum>
  <w:abstractNum w:abstractNumId="12" w15:restartNumberingAfterBreak="0">
    <w:nsid w:val="26BC453A"/>
    <w:multiLevelType w:val="hybridMultilevel"/>
    <w:tmpl w:val="2118073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274A7AAC"/>
    <w:multiLevelType w:val="hybridMultilevel"/>
    <w:tmpl w:val="D4A8B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6D556D4"/>
    <w:multiLevelType w:val="multilevel"/>
    <w:tmpl w:val="9102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C3DA0"/>
    <w:multiLevelType w:val="multilevel"/>
    <w:tmpl w:val="DA64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016109"/>
    <w:multiLevelType w:val="multilevel"/>
    <w:tmpl w:val="A0B4C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E33BC0"/>
    <w:multiLevelType w:val="hybridMultilevel"/>
    <w:tmpl w:val="A47EE20E"/>
    <w:lvl w:ilvl="0" w:tplc="E8A0E8E0">
      <w:start w:val="1"/>
      <w:numFmt w:val="decimal"/>
      <w:lvlText w:val="(%1)"/>
      <w:lvlJc w:val="left"/>
      <w:pPr>
        <w:ind w:left="720" w:hanging="360"/>
      </w:pPr>
      <w:rPr>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3972B87"/>
    <w:multiLevelType w:val="multilevel"/>
    <w:tmpl w:val="2C0E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6E51DC"/>
    <w:multiLevelType w:val="hybridMultilevel"/>
    <w:tmpl w:val="35B487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9B74185"/>
    <w:multiLevelType w:val="hybridMultilevel"/>
    <w:tmpl w:val="7612048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1" w15:restartNumberingAfterBreak="0">
    <w:nsid w:val="4AAB3AFB"/>
    <w:multiLevelType w:val="hybridMultilevel"/>
    <w:tmpl w:val="E1B0C35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AE44A26"/>
    <w:multiLevelType w:val="hybridMultilevel"/>
    <w:tmpl w:val="FDC4019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3" w15:restartNumberingAfterBreak="0">
    <w:nsid w:val="4F5B21E7"/>
    <w:multiLevelType w:val="hybridMultilevel"/>
    <w:tmpl w:val="ACEA0F5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4F967013"/>
    <w:multiLevelType w:val="multilevel"/>
    <w:tmpl w:val="BEDA6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0E6177"/>
    <w:multiLevelType w:val="multilevel"/>
    <w:tmpl w:val="DD267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D2FCA"/>
    <w:multiLevelType w:val="hybridMultilevel"/>
    <w:tmpl w:val="32F659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A537356"/>
    <w:multiLevelType w:val="multilevel"/>
    <w:tmpl w:val="00B47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14CDF"/>
    <w:multiLevelType w:val="hybridMultilevel"/>
    <w:tmpl w:val="A1B2AC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2506AD5"/>
    <w:multiLevelType w:val="hybridMultilevel"/>
    <w:tmpl w:val="5798E59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3A04FB7"/>
    <w:multiLevelType w:val="hybridMultilevel"/>
    <w:tmpl w:val="DAB0143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5B5DCD"/>
    <w:multiLevelType w:val="hybridMultilevel"/>
    <w:tmpl w:val="99E21B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35E2845"/>
    <w:multiLevelType w:val="hybridMultilevel"/>
    <w:tmpl w:val="2E6EB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3AD0BD4"/>
    <w:multiLevelType w:val="hybridMultilevel"/>
    <w:tmpl w:val="F93C3F2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4" w15:restartNumberingAfterBreak="0">
    <w:nsid w:val="76B12636"/>
    <w:multiLevelType w:val="hybridMultilevel"/>
    <w:tmpl w:val="20A6E694"/>
    <w:lvl w:ilvl="0" w:tplc="ED347968">
      <w:start w:val="1"/>
      <w:numFmt w:val="bullet"/>
      <w:pStyle w:val="Aufzhlung"/>
      <w:lvlText w:val=""/>
      <w:lvlJc w:val="left"/>
      <w:pPr>
        <w:ind w:left="360" w:hanging="360"/>
      </w:pPr>
      <w:rPr>
        <w:rFonts w:ascii="Wingdings" w:hAnsi="Wingdings" w:hint="default"/>
        <w:color w:val="FFCC00"/>
      </w:rPr>
    </w:lvl>
    <w:lvl w:ilvl="1" w:tplc="04070003">
      <w:start w:val="1"/>
      <w:numFmt w:val="bullet"/>
      <w:lvlText w:val="o"/>
      <w:lvlJc w:val="left"/>
      <w:pPr>
        <w:ind w:left="513" w:hanging="360"/>
      </w:pPr>
      <w:rPr>
        <w:rFonts w:ascii="Courier New" w:hAnsi="Courier New" w:cs="Courier New" w:hint="default"/>
      </w:rPr>
    </w:lvl>
    <w:lvl w:ilvl="2" w:tplc="04070005">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35" w15:restartNumberingAfterBreak="0">
    <w:nsid w:val="78517E60"/>
    <w:multiLevelType w:val="hybridMultilevel"/>
    <w:tmpl w:val="19F89C5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6" w15:restartNumberingAfterBreak="0">
    <w:nsid w:val="7C663A7E"/>
    <w:multiLevelType w:val="multilevel"/>
    <w:tmpl w:val="4CC8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95219F"/>
    <w:multiLevelType w:val="hybridMultilevel"/>
    <w:tmpl w:val="383266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DA908AE"/>
    <w:multiLevelType w:val="hybridMultilevel"/>
    <w:tmpl w:val="4560E250"/>
    <w:lvl w:ilvl="0" w:tplc="FA82DD32">
      <w:numFmt w:val="bullet"/>
      <w:lvlText w:val="-"/>
      <w:lvlJc w:val="left"/>
      <w:pPr>
        <w:ind w:left="1429" w:hanging="360"/>
      </w:pPr>
      <w:rPr>
        <w:rFonts w:ascii="Arial" w:eastAsia="Times New Roman"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num w:numId="1" w16cid:durableId="381564556">
    <w:abstractNumId w:val="6"/>
  </w:num>
  <w:num w:numId="2" w16cid:durableId="877159757">
    <w:abstractNumId w:val="10"/>
  </w:num>
  <w:num w:numId="3" w16cid:durableId="816655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719983">
    <w:abstractNumId w:val="8"/>
  </w:num>
  <w:num w:numId="5" w16cid:durableId="821580065">
    <w:abstractNumId w:val="29"/>
  </w:num>
  <w:num w:numId="6" w16cid:durableId="503515646">
    <w:abstractNumId w:val="2"/>
  </w:num>
  <w:num w:numId="7" w16cid:durableId="1461417576">
    <w:abstractNumId w:val="9"/>
  </w:num>
  <w:num w:numId="8" w16cid:durableId="1559508731">
    <w:abstractNumId w:val="30"/>
  </w:num>
  <w:num w:numId="9" w16cid:durableId="376393182">
    <w:abstractNumId w:val="1"/>
  </w:num>
  <w:num w:numId="10" w16cid:durableId="169880239">
    <w:abstractNumId w:val="11"/>
  </w:num>
  <w:num w:numId="11" w16cid:durableId="1496990373">
    <w:abstractNumId w:val="5"/>
  </w:num>
  <w:num w:numId="12" w16cid:durableId="689448226">
    <w:abstractNumId w:val="38"/>
  </w:num>
  <w:num w:numId="13" w16cid:durableId="1724479390">
    <w:abstractNumId w:val="21"/>
  </w:num>
  <w:num w:numId="14" w16cid:durableId="41637023">
    <w:abstractNumId w:val="17"/>
  </w:num>
  <w:num w:numId="15" w16cid:durableId="1868904038">
    <w:abstractNumId w:val="12"/>
  </w:num>
  <w:num w:numId="16" w16cid:durableId="1100679490">
    <w:abstractNumId w:val="19"/>
  </w:num>
  <w:num w:numId="17" w16cid:durableId="1029836751">
    <w:abstractNumId w:val="28"/>
  </w:num>
  <w:num w:numId="18" w16cid:durableId="229774855">
    <w:abstractNumId w:val="31"/>
  </w:num>
  <w:num w:numId="19" w16cid:durableId="429129833">
    <w:abstractNumId w:val="13"/>
  </w:num>
  <w:num w:numId="20" w16cid:durableId="969017233">
    <w:abstractNumId w:val="0"/>
  </w:num>
  <w:num w:numId="21" w16cid:durableId="1683511343">
    <w:abstractNumId w:val="4"/>
  </w:num>
  <w:num w:numId="22" w16cid:durableId="1623878469">
    <w:abstractNumId w:val="26"/>
  </w:num>
  <w:num w:numId="23" w16cid:durableId="1107115334">
    <w:abstractNumId w:val="20"/>
  </w:num>
  <w:num w:numId="24" w16cid:durableId="1438717420">
    <w:abstractNumId w:val="22"/>
  </w:num>
  <w:num w:numId="25" w16cid:durableId="2067218618">
    <w:abstractNumId w:val="23"/>
  </w:num>
  <w:num w:numId="26" w16cid:durableId="1563254306">
    <w:abstractNumId w:val="18"/>
  </w:num>
  <w:num w:numId="27" w16cid:durableId="880938394">
    <w:abstractNumId w:val="33"/>
  </w:num>
  <w:num w:numId="28" w16cid:durableId="941380205">
    <w:abstractNumId w:val="35"/>
  </w:num>
  <w:num w:numId="29" w16cid:durableId="506092182">
    <w:abstractNumId w:val="32"/>
  </w:num>
  <w:num w:numId="30" w16cid:durableId="677002530">
    <w:abstractNumId w:val="37"/>
  </w:num>
  <w:num w:numId="31" w16cid:durableId="611520791">
    <w:abstractNumId w:val="16"/>
  </w:num>
  <w:num w:numId="32" w16cid:durableId="803279477">
    <w:abstractNumId w:val="25"/>
  </w:num>
  <w:num w:numId="33" w16cid:durableId="1019627776">
    <w:abstractNumId w:val="14"/>
  </w:num>
  <w:num w:numId="34" w16cid:durableId="316418329">
    <w:abstractNumId w:val="24"/>
  </w:num>
  <w:num w:numId="35" w16cid:durableId="86585811">
    <w:abstractNumId w:val="36"/>
  </w:num>
  <w:num w:numId="36" w16cid:durableId="254945932">
    <w:abstractNumId w:val="7"/>
  </w:num>
  <w:num w:numId="37" w16cid:durableId="1829127688">
    <w:abstractNumId w:val="3"/>
  </w:num>
  <w:num w:numId="38" w16cid:durableId="2063554913">
    <w:abstractNumId w:val="27"/>
  </w:num>
  <w:num w:numId="39" w16cid:durableId="1636718310">
    <w:abstractNumId w:val="15"/>
  </w:num>
  <w:num w:numId="40" w16cid:durableId="1334406738">
    <w:abstractNumId w:val="34"/>
  </w:num>
  <w:num w:numId="41" w16cid:durableId="116975481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540"/>
    <w:rsid w:val="00005E3B"/>
    <w:rsid w:val="000067F8"/>
    <w:rsid w:val="00007029"/>
    <w:rsid w:val="00013127"/>
    <w:rsid w:val="00013646"/>
    <w:rsid w:val="00014107"/>
    <w:rsid w:val="0002001E"/>
    <w:rsid w:val="00020738"/>
    <w:rsid w:val="0002193B"/>
    <w:rsid w:val="00023D73"/>
    <w:rsid w:val="00027432"/>
    <w:rsid w:val="00030132"/>
    <w:rsid w:val="00030BC2"/>
    <w:rsid w:val="00034221"/>
    <w:rsid w:val="0003467B"/>
    <w:rsid w:val="000349E4"/>
    <w:rsid w:val="00040174"/>
    <w:rsid w:val="00041C3D"/>
    <w:rsid w:val="00042940"/>
    <w:rsid w:val="000468F5"/>
    <w:rsid w:val="00046D89"/>
    <w:rsid w:val="00046FB4"/>
    <w:rsid w:val="00050079"/>
    <w:rsid w:val="000501E0"/>
    <w:rsid w:val="00055921"/>
    <w:rsid w:val="00062C27"/>
    <w:rsid w:val="000648BA"/>
    <w:rsid w:val="00070241"/>
    <w:rsid w:val="00071322"/>
    <w:rsid w:val="00073037"/>
    <w:rsid w:val="00077445"/>
    <w:rsid w:val="00081AF3"/>
    <w:rsid w:val="00082A4E"/>
    <w:rsid w:val="00083EDE"/>
    <w:rsid w:val="00084B15"/>
    <w:rsid w:val="00085598"/>
    <w:rsid w:val="000865F1"/>
    <w:rsid w:val="0009445E"/>
    <w:rsid w:val="000A10E9"/>
    <w:rsid w:val="000A6E57"/>
    <w:rsid w:val="000A72A9"/>
    <w:rsid w:val="000A7534"/>
    <w:rsid w:val="000B3714"/>
    <w:rsid w:val="000B3B86"/>
    <w:rsid w:val="000B4699"/>
    <w:rsid w:val="000B5242"/>
    <w:rsid w:val="000B636B"/>
    <w:rsid w:val="000B6FBD"/>
    <w:rsid w:val="000B73CB"/>
    <w:rsid w:val="000B73E6"/>
    <w:rsid w:val="000B7643"/>
    <w:rsid w:val="000C023B"/>
    <w:rsid w:val="000C0C24"/>
    <w:rsid w:val="000C2588"/>
    <w:rsid w:val="000C383D"/>
    <w:rsid w:val="000C527B"/>
    <w:rsid w:val="000C7B73"/>
    <w:rsid w:val="000D49FF"/>
    <w:rsid w:val="000D5963"/>
    <w:rsid w:val="000D6268"/>
    <w:rsid w:val="000E0B38"/>
    <w:rsid w:val="000F05B8"/>
    <w:rsid w:val="000F6206"/>
    <w:rsid w:val="000F6BDD"/>
    <w:rsid w:val="001005B8"/>
    <w:rsid w:val="0010293E"/>
    <w:rsid w:val="00104433"/>
    <w:rsid w:val="00106114"/>
    <w:rsid w:val="00111A46"/>
    <w:rsid w:val="0011273C"/>
    <w:rsid w:val="00113E8C"/>
    <w:rsid w:val="0012022A"/>
    <w:rsid w:val="00121378"/>
    <w:rsid w:val="0012259E"/>
    <w:rsid w:val="00122FEC"/>
    <w:rsid w:val="00131030"/>
    <w:rsid w:val="00134EE2"/>
    <w:rsid w:val="0013504C"/>
    <w:rsid w:val="00141148"/>
    <w:rsid w:val="00143730"/>
    <w:rsid w:val="001546CC"/>
    <w:rsid w:val="00155C84"/>
    <w:rsid w:val="00155ED9"/>
    <w:rsid w:val="00156540"/>
    <w:rsid w:val="00156AA5"/>
    <w:rsid w:val="001603C9"/>
    <w:rsid w:val="00166BAD"/>
    <w:rsid w:val="001678BA"/>
    <w:rsid w:val="0017083F"/>
    <w:rsid w:val="00170BB7"/>
    <w:rsid w:val="00170E92"/>
    <w:rsid w:val="00172142"/>
    <w:rsid w:val="001724AC"/>
    <w:rsid w:val="00172AD9"/>
    <w:rsid w:val="00172B5D"/>
    <w:rsid w:val="001749D4"/>
    <w:rsid w:val="0018120A"/>
    <w:rsid w:val="001832CE"/>
    <w:rsid w:val="0018345E"/>
    <w:rsid w:val="001842F8"/>
    <w:rsid w:val="00187340"/>
    <w:rsid w:val="00191B28"/>
    <w:rsid w:val="00191DB9"/>
    <w:rsid w:val="001A6FD0"/>
    <w:rsid w:val="001B03A4"/>
    <w:rsid w:val="001B2F4E"/>
    <w:rsid w:val="001B40F4"/>
    <w:rsid w:val="001B60F1"/>
    <w:rsid w:val="001B6802"/>
    <w:rsid w:val="001B7001"/>
    <w:rsid w:val="001C2466"/>
    <w:rsid w:val="001C6EE9"/>
    <w:rsid w:val="001D2FFD"/>
    <w:rsid w:val="001D4D5B"/>
    <w:rsid w:val="001D648D"/>
    <w:rsid w:val="001D6877"/>
    <w:rsid w:val="001E1D31"/>
    <w:rsid w:val="001E354A"/>
    <w:rsid w:val="001E3862"/>
    <w:rsid w:val="001E73F7"/>
    <w:rsid w:val="001E792B"/>
    <w:rsid w:val="001F067E"/>
    <w:rsid w:val="001F4DCC"/>
    <w:rsid w:val="001F515C"/>
    <w:rsid w:val="00201191"/>
    <w:rsid w:val="002028DD"/>
    <w:rsid w:val="00203236"/>
    <w:rsid w:val="00204046"/>
    <w:rsid w:val="00205D04"/>
    <w:rsid w:val="00206415"/>
    <w:rsid w:val="002103BE"/>
    <w:rsid w:val="00212FED"/>
    <w:rsid w:val="00215058"/>
    <w:rsid w:val="00215967"/>
    <w:rsid w:val="002212B3"/>
    <w:rsid w:val="00222D6A"/>
    <w:rsid w:val="002236E2"/>
    <w:rsid w:val="002238F2"/>
    <w:rsid w:val="002240F6"/>
    <w:rsid w:val="002270B7"/>
    <w:rsid w:val="002274B0"/>
    <w:rsid w:val="00231F40"/>
    <w:rsid w:val="00233089"/>
    <w:rsid w:val="00237523"/>
    <w:rsid w:val="00237D3B"/>
    <w:rsid w:val="0024042E"/>
    <w:rsid w:val="00242911"/>
    <w:rsid w:val="00256A89"/>
    <w:rsid w:val="002602A8"/>
    <w:rsid w:val="0026719A"/>
    <w:rsid w:val="002676AD"/>
    <w:rsid w:val="00284024"/>
    <w:rsid w:val="00292D6D"/>
    <w:rsid w:val="002934D5"/>
    <w:rsid w:val="00294FD6"/>
    <w:rsid w:val="00295787"/>
    <w:rsid w:val="002969A8"/>
    <w:rsid w:val="00297986"/>
    <w:rsid w:val="002A2A4F"/>
    <w:rsid w:val="002B0AED"/>
    <w:rsid w:val="002B1F66"/>
    <w:rsid w:val="002B2632"/>
    <w:rsid w:val="002B3D6B"/>
    <w:rsid w:val="002B3ECB"/>
    <w:rsid w:val="002B4587"/>
    <w:rsid w:val="002C0967"/>
    <w:rsid w:val="002C1C58"/>
    <w:rsid w:val="002C202C"/>
    <w:rsid w:val="002C23B4"/>
    <w:rsid w:val="002C350B"/>
    <w:rsid w:val="002C3D07"/>
    <w:rsid w:val="002C4CAC"/>
    <w:rsid w:val="002C7098"/>
    <w:rsid w:val="002D0A76"/>
    <w:rsid w:val="002D19CE"/>
    <w:rsid w:val="002D6325"/>
    <w:rsid w:val="002D72A3"/>
    <w:rsid w:val="002D72CC"/>
    <w:rsid w:val="002E7EA9"/>
    <w:rsid w:val="002F0848"/>
    <w:rsid w:val="002F1F44"/>
    <w:rsid w:val="002F353E"/>
    <w:rsid w:val="002F3C30"/>
    <w:rsid w:val="002F7D5F"/>
    <w:rsid w:val="00300DBC"/>
    <w:rsid w:val="00304589"/>
    <w:rsid w:val="00306AD1"/>
    <w:rsid w:val="00307A1A"/>
    <w:rsid w:val="003112FB"/>
    <w:rsid w:val="00311954"/>
    <w:rsid w:val="003124C2"/>
    <w:rsid w:val="0031402C"/>
    <w:rsid w:val="00325EFF"/>
    <w:rsid w:val="00331D24"/>
    <w:rsid w:val="00335BBF"/>
    <w:rsid w:val="00344C43"/>
    <w:rsid w:val="00347435"/>
    <w:rsid w:val="00350B6B"/>
    <w:rsid w:val="003534C6"/>
    <w:rsid w:val="003604A9"/>
    <w:rsid w:val="00360A0B"/>
    <w:rsid w:val="003625E7"/>
    <w:rsid w:val="00364A79"/>
    <w:rsid w:val="00364F9F"/>
    <w:rsid w:val="00372849"/>
    <w:rsid w:val="003737AB"/>
    <w:rsid w:val="003756FB"/>
    <w:rsid w:val="00375753"/>
    <w:rsid w:val="00382651"/>
    <w:rsid w:val="0038523D"/>
    <w:rsid w:val="00387089"/>
    <w:rsid w:val="00387F0F"/>
    <w:rsid w:val="00391F36"/>
    <w:rsid w:val="003937F4"/>
    <w:rsid w:val="003975BA"/>
    <w:rsid w:val="003A394A"/>
    <w:rsid w:val="003B4702"/>
    <w:rsid w:val="003B6B34"/>
    <w:rsid w:val="003C2523"/>
    <w:rsid w:val="003C29A3"/>
    <w:rsid w:val="003C2FDA"/>
    <w:rsid w:val="003C3889"/>
    <w:rsid w:val="003C54AB"/>
    <w:rsid w:val="003C5C20"/>
    <w:rsid w:val="003D2EE8"/>
    <w:rsid w:val="003D4596"/>
    <w:rsid w:val="003D5318"/>
    <w:rsid w:val="003D563E"/>
    <w:rsid w:val="003D67AC"/>
    <w:rsid w:val="003E0EC5"/>
    <w:rsid w:val="003F2597"/>
    <w:rsid w:val="003F5D5D"/>
    <w:rsid w:val="003F6836"/>
    <w:rsid w:val="004007AC"/>
    <w:rsid w:val="0040437A"/>
    <w:rsid w:val="004049BA"/>
    <w:rsid w:val="00404B10"/>
    <w:rsid w:val="00405408"/>
    <w:rsid w:val="0041260A"/>
    <w:rsid w:val="00424537"/>
    <w:rsid w:val="00424730"/>
    <w:rsid w:val="00427079"/>
    <w:rsid w:val="00427432"/>
    <w:rsid w:val="004310ED"/>
    <w:rsid w:val="00435735"/>
    <w:rsid w:val="00436B8D"/>
    <w:rsid w:val="00440AED"/>
    <w:rsid w:val="004452A3"/>
    <w:rsid w:val="00445372"/>
    <w:rsid w:val="00450552"/>
    <w:rsid w:val="00450A94"/>
    <w:rsid w:val="00454CE8"/>
    <w:rsid w:val="004568C2"/>
    <w:rsid w:val="00462F57"/>
    <w:rsid w:val="0046337B"/>
    <w:rsid w:val="00463E71"/>
    <w:rsid w:val="00464906"/>
    <w:rsid w:val="004662B9"/>
    <w:rsid w:val="0046784E"/>
    <w:rsid w:val="004709EC"/>
    <w:rsid w:val="00475792"/>
    <w:rsid w:val="004774DA"/>
    <w:rsid w:val="00482744"/>
    <w:rsid w:val="00485CE9"/>
    <w:rsid w:val="0049002C"/>
    <w:rsid w:val="004952E5"/>
    <w:rsid w:val="0049593A"/>
    <w:rsid w:val="004968D1"/>
    <w:rsid w:val="00496C31"/>
    <w:rsid w:val="00497F39"/>
    <w:rsid w:val="004A216B"/>
    <w:rsid w:val="004A6DDD"/>
    <w:rsid w:val="004A6F97"/>
    <w:rsid w:val="004C1176"/>
    <w:rsid w:val="004C415F"/>
    <w:rsid w:val="004C55FD"/>
    <w:rsid w:val="004D11E5"/>
    <w:rsid w:val="004D1A41"/>
    <w:rsid w:val="004D1FC4"/>
    <w:rsid w:val="004D26A4"/>
    <w:rsid w:val="004D294B"/>
    <w:rsid w:val="004D4961"/>
    <w:rsid w:val="004D5612"/>
    <w:rsid w:val="004E149F"/>
    <w:rsid w:val="004E18A8"/>
    <w:rsid w:val="004E31D1"/>
    <w:rsid w:val="004E6395"/>
    <w:rsid w:val="004F2C9A"/>
    <w:rsid w:val="004F4973"/>
    <w:rsid w:val="004F4ABE"/>
    <w:rsid w:val="00501579"/>
    <w:rsid w:val="0050268D"/>
    <w:rsid w:val="00502B08"/>
    <w:rsid w:val="00505653"/>
    <w:rsid w:val="00510607"/>
    <w:rsid w:val="005132D2"/>
    <w:rsid w:val="005150C9"/>
    <w:rsid w:val="00520C7A"/>
    <w:rsid w:val="005273D0"/>
    <w:rsid w:val="0053196D"/>
    <w:rsid w:val="00531ED1"/>
    <w:rsid w:val="00532687"/>
    <w:rsid w:val="00533A52"/>
    <w:rsid w:val="00535CB6"/>
    <w:rsid w:val="00540CE7"/>
    <w:rsid w:val="00540EC2"/>
    <w:rsid w:val="00542EE0"/>
    <w:rsid w:val="00543E47"/>
    <w:rsid w:val="00547839"/>
    <w:rsid w:val="005519E5"/>
    <w:rsid w:val="00552ACA"/>
    <w:rsid w:val="00557C04"/>
    <w:rsid w:val="00557C30"/>
    <w:rsid w:val="00560881"/>
    <w:rsid w:val="00561288"/>
    <w:rsid w:val="0056675D"/>
    <w:rsid w:val="005709BE"/>
    <w:rsid w:val="00570D87"/>
    <w:rsid w:val="00571739"/>
    <w:rsid w:val="0057196C"/>
    <w:rsid w:val="00574B5E"/>
    <w:rsid w:val="00576DDB"/>
    <w:rsid w:val="0058636E"/>
    <w:rsid w:val="00586A15"/>
    <w:rsid w:val="005922F2"/>
    <w:rsid w:val="005A011B"/>
    <w:rsid w:val="005A1FB7"/>
    <w:rsid w:val="005A5DC3"/>
    <w:rsid w:val="005B04C6"/>
    <w:rsid w:val="005B1289"/>
    <w:rsid w:val="005B1411"/>
    <w:rsid w:val="005B2B3C"/>
    <w:rsid w:val="005B32D6"/>
    <w:rsid w:val="005B3AA1"/>
    <w:rsid w:val="005B59E5"/>
    <w:rsid w:val="005B71EC"/>
    <w:rsid w:val="005C5304"/>
    <w:rsid w:val="005C6BE1"/>
    <w:rsid w:val="005D10C2"/>
    <w:rsid w:val="005D58DC"/>
    <w:rsid w:val="005D736C"/>
    <w:rsid w:val="005E136F"/>
    <w:rsid w:val="005E1CE8"/>
    <w:rsid w:val="005E38F6"/>
    <w:rsid w:val="005E7115"/>
    <w:rsid w:val="005E7127"/>
    <w:rsid w:val="005E7D1A"/>
    <w:rsid w:val="005E7DA1"/>
    <w:rsid w:val="005F10E6"/>
    <w:rsid w:val="005F7DDD"/>
    <w:rsid w:val="006015CE"/>
    <w:rsid w:val="006016F1"/>
    <w:rsid w:val="00604C47"/>
    <w:rsid w:val="0060795C"/>
    <w:rsid w:val="00610EC8"/>
    <w:rsid w:val="0061232D"/>
    <w:rsid w:val="006205FE"/>
    <w:rsid w:val="006208FC"/>
    <w:rsid w:val="00622C33"/>
    <w:rsid w:val="00622E0B"/>
    <w:rsid w:val="006236C0"/>
    <w:rsid w:val="00625B79"/>
    <w:rsid w:val="00625C78"/>
    <w:rsid w:val="00636995"/>
    <w:rsid w:val="00637813"/>
    <w:rsid w:val="00637817"/>
    <w:rsid w:val="00650D55"/>
    <w:rsid w:val="00651731"/>
    <w:rsid w:val="006557D3"/>
    <w:rsid w:val="0065692B"/>
    <w:rsid w:val="00663C39"/>
    <w:rsid w:val="00666CE5"/>
    <w:rsid w:val="006718AE"/>
    <w:rsid w:val="00672280"/>
    <w:rsid w:val="0067782C"/>
    <w:rsid w:val="00682DE9"/>
    <w:rsid w:val="00684452"/>
    <w:rsid w:val="00685844"/>
    <w:rsid w:val="00692494"/>
    <w:rsid w:val="006926E9"/>
    <w:rsid w:val="00696BF9"/>
    <w:rsid w:val="006A11DB"/>
    <w:rsid w:val="006A2F74"/>
    <w:rsid w:val="006A3ED3"/>
    <w:rsid w:val="006B1614"/>
    <w:rsid w:val="006B1896"/>
    <w:rsid w:val="006B203A"/>
    <w:rsid w:val="006B280D"/>
    <w:rsid w:val="006B3715"/>
    <w:rsid w:val="006B4984"/>
    <w:rsid w:val="006B4A39"/>
    <w:rsid w:val="006B5202"/>
    <w:rsid w:val="006B5AD5"/>
    <w:rsid w:val="006B74A9"/>
    <w:rsid w:val="006C1C1B"/>
    <w:rsid w:val="006C42F0"/>
    <w:rsid w:val="006C7F2F"/>
    <w:rsid w:val="006D0003"/>
    <w:rsid w:val="006D1330"/>
    <w:rsid w:val="006D1D6E"/>
    <w:rsid w:val="006D2E53"/>
    <w:rsid w:val="006D469A"/>
    <w:rsid w:val="006E10AB"/>
    <w:rsid w:val="006E55B2"/>
    <w:rsid w:val="006E7EE9"/>
    <w:rsid w:val="006E7F04"/>
    <w:rsid w:val="006F1A37"/>
    <w:rsid w:val="006F4AF8"/>
    <w:rsid w:val="006F5161"/>
    <w:rsid w:val="00700873"/>
    <w:rsid w:val="00705A5B"/>
    <w:rsid w:val="00714D62"/>
    <w:rsid w:val="00714D94"/>
    <w:rsid w:val="00720205"/>
    <w:rsid w:val="00720C3C"/>
    <w:rsid w:val="007213A1"/>
    <w:rsid w:val="00723788"/>
    <w:rsid w:val="00726293"/>
    <w:rsid w:val="00727B3B"/>
    <w:rsid w:val="0073636F"/>
    <w:rsid w:val="00741B13"/>
    <w:rsid w:val="007448AB"/>
    <w:rsid w:val="00746C09"/>
    <w:rsid w:val="0075024C"/>
    <w:rsid w:val="0075071D"/>
    <w:rsid w:val="00753CF5"/>
    <w:rsid w:val="00754AAD"/>
    <w:rsid w:val="00756AEC"/>
    <w:rsid w:val="00760CC5"/>
    <w:rsid w:val="0076238B"/>
    <w:rsid w:val="00762D93"/>
    <w:rsid w:val="00765B50"/>
    <w:rsid w:val="007673B1"/>
    <w:rsid w:val="00771098"/>
    <w:rsid w:val="00777F9D"/>
    <w:rsid w:val="00783A5B"/>
    <w:rsid w:val="00783BAD"/>
    <w:rsid w:val="0078640D"/>
    <w:rsid w:val="007A15C2"/>
    <w:rsid w:val="007A3B89"/>
    <w:rsid w:val="007A442C"/>
    <w:rsid w:val="007A63BB"/>
    <w:rsid w:val="007A6BC0"/>
    <w:rsid w:val="007B143C"/>
    <w:rsid w:val="007B1D84"/>
    <w:rsid w:val="007B37CD"/>
    <w:rsid w:val="007B647D"/>
    <w:rsid w:val="007B707B"/>
    <w:rsid w:val="007B7916"/>
    <w:rsid w:val="007C7CC3"/>
    <w:rsid w:val="007D1A89"/>
    <w:rsid w:val="007D1EC1"/>
    <w:rsid w:val="007D289B"/>
    <w:rsid w:val="007D4C2D"/>
    <w:rsid w:val="007D4DAE"/>
    <w:rsid w:val="007D7AB3"/>
    <w:rsid w:val="007D7EAD"/>
    <w:rsid w:val="007E1715"/>
    <w:rsid w:val="007F08CF"/>
    <w:rsid w:val="007F2CC5"/>
    <w:rsid w:val="007F44B8"/>
    <w:rsid w:val="007F4D49"/>
    <w:rsid w:val="007F6F40"/>
    <w:rsid w:val="00806B49"/>
    <w:rsid w:val="00811858"/>
    <w:rsid w:val="00811D30"/>
    <w:rsid w:val="0082165F"/>
    <w:rsid w:val="00823DFB"/>
    <w:rsid w:val="00824436"/>
    <w:rsid w:val="0082445E"/>
    <w:rsid w:val="00824EE2"/>
    <w:rsid w:val="00825264"/>
    <w:rsid w:val="00825673"/>
    <w:rsid w:val="00826E70"/>
    <w:rsid w:val="00832BC6"/>
    <w:rsid w:val="00840ACC"/>
    <w:rsid w:val="00844C09"/>
    <w:rsid w:val="00846C8B"/>
    <w:rsid w:val="00853E05"/>
    <w:rsid w:val="00856CEF"/>
    <w:rsid w:val="00861EE2"/>
    <w:rsid w:val="00863215"/>
    <w:rsid w:val="00864B0D"/>
    <w:rsid w:val="008705F9"/>
    <w:rsid w:val="0087133A"/>
    <w:rsid w:val="00871F27"/>
    <w:rsid w:val="008754D2"/>
    <w:rsid w:val="00877D33"/>
    <w:rsid w:val="008812E8"/>
    <w:rsid w:val="0089237E"/>
    <w:rsid w:val="008964DD"/>
    <w:rsid w:val="00896B51"/>
    <w:rsid w:val="008A1065"/>
    <w:rsid w:val="008A45AC"/>
    <w:rsid w:val="008A6688"/>
    <w:rsid w:val="008A72AF"/>
    <w:rsid w:val="008B0F3F"/>
    <w:rsid w:val="008B3F52"/>
    <w:rsid w:val="008B59E2"/>
    <w:rsid w:val="008B6A88"/>
    <w:rsid w:val="008B7F72"/>
    <w:rsid w:val="008C0D27"/>
    <w:rsid w:val="008C1190"/>
    <w:rsid w:val="008C3AC4"/>
    <w:rsid w:val="008C3DA6"/>
    <w:rsid w:val="008C5A62"/>
    <w:rsid w:val="008D48AA"/>
    <w:rsid w:val="008D6352"/>
    <w:rsid w:val="008D74B3"/>
    <w:rsid w:val="008D7E28"/>
    <w:rsid w:val="008D7F1C"/>
    <w:rsid w:val="008E56D0"/>
    <w:rsid w:val="008F4895"/>
    <w:rsid w:val="0090105E"/>
    <w:rsid w:val="00902AD8"/>
    <w:rsid w:val="00903DA2"/>
    <w:rsid w:val="009057C9"/>
    <w:rsid w:val="009074B7"/>
    <w:rsid w:val="0090793A"/>
    <w:rsid w:val="00907DDD"/>
    <w:rsid w:val="009119A1"/>
    <w:rsid w:val="009131CC"/>
    <w:rsid w:val="0092039D"/>
    <w:rsid w:val="00920EB7"/>
    <w:rsid w:val="00922CC9"/>
    <w:rsid w:val="00922F9A"/>
    <w:rsid w:val="00925960"/>
    <w:rsid w:val="0092657F"/>
    <w:rsid w:val="00926F74"/>
    <w:rsid w:val="00927B2A"/>
    <w:rsid w:val="0093377A"/>
    <w:rsid w:val="009361B7"/>
    <w:rsid w:val="0093796A"/>
    <w:rsid w:val="00941894"/>
    <w:rsid w:val="00942FDC"/>
    <w:rsid w:val="009459E3"/>
    <w:rsid w:val="00953C83"/>
    <w:rsid w:val="009618E6"/>
    <w:rsid w:val="00961F62"/>
    <w:rsid w:val="00962F25"/>
    <w:rsid w:val="00965727"/>
    <w:rsid w:val="0096664E"/>
    <w:rsid w:val="009673F5"/>
    <w:rsid w:val="00972CA3"/>
    <w:rsid w:val="0097688A"/>
    <w:rsid w:val="009836CD"/>
    <w:rsid w:val="00992C39"/>
    <w:rsid w:val="00994B7D"/>
    <w:rsid w:val="009A478A"/>
    <w:rsid w:val="009A4E3F"/>
    <w:rsid w:val="009A650F"/>
    <w:rsid w:val="009A6A0D"/>
    <w:rsid w:val="009A794D"/>
    <w:rsid w:val="009B165E"/>
    <w:rsid w:val="009B2C68"/>
    <w:rsid w:val="009C255C"/>
    <w:rsid w:val="009C5C21"/>
    <w:rsid w:val="009C71D8"/>
    <w:rsid w:val="009C75EF"/>
    <w:rsid w:val="009D26CB"/>
    <w:rsid w:val="009D3165"/>
    <w:rsid w:val="009D4184"/>
    <w:rsid w:val="009E2A75"/>
    <w:rsid w:val="009E6E6A"/>
    <w:rsid w:val="009E7C1E"/>
    <w:rsid w:val="009F05AF"/>
    <w:rsid w:val="009F36C7"/>
    <w:rsid w:val="009F3E55"/>
    <w:rsid w:val="009F45A6"/>
    <w:rsid w:val="009F6F2E"/>
    <w:rsid w:val="00A0188B"/>
    <w:rsid w:val="00A02757"/>
    <w:rsid w:val="00A04306"/>
    <w:rsid w:val="00A04611"/>
    <w:rsid w:val="00A06500"/>
    <w:rsid w:val="00A1291F"/>
    <w:rsid w:val="00A1639D"/>
    <w:rsid w:val="00A17BA2"/>
    <w:rsid w:val="00A22982"/>
    <w:rsid w:val="00A24A58"/>
    <w:rsid w:val="00A25481"/>
    <w:rsid w:val="00A3124D"/>
    <w:rsid w:val="00A3245B"/>
    <w:rsid w:val="00A33BFC"/>
    <w:rsid w:val="00A34119"/>
    <w:rsid w:val="00A40126"/>
    <w:rsid w:val="00A4049C"/>
    <w:rsid w:val="00A43FC7"/>
    <w:rsid w:val="00A506DE"/>
    <w:rsid w:val="00A53C76"/>
    <w:rsid w:val="00A56EEB"/>
    <w:rsid w:val="00A62917"/>
    <w:rsid w:val="00A64493"/>
    <w:rsid w:val="00A651CF"/>
    <w:rsid w:val="00A6606D"/>
    <w:rsid w:val="00A66AB2"/>
    <w:rsid w:val="00A7002C"/>
    <w:rsid w:val="00A8116E"/>
    <w:rsid w:val="00A842DF"/>
    <w:rsid w:val="00A85A70"/>
    <w:rsid w:val="00A8605E"/>
    <w:rsid w:val="00A91AA4"/>
    <w:rsid w:val="00A946C5"/>
    <w:rsid w:val="00A95582"/>
    <w:rsid w:val="00A959D6"/>
    <w:rsid w:val="00A96290"/>
    <w:rsid w:val="00A96923"/>
    <w:rsid w:val="00AA1792"/>
    <w:rsid w:val="00AA3D01"/>
    <w:rsid w:val="00AB2135"/>
    <w:rsid w:val="00AB326E"/>
    <w:rsid w:val="00AB65BF"/>
    <w:rsid w:val="00AC11CB"/>
    <w:rsid w:val="00AC1291"/>
    <w:rsid w:val="00AC5F84"/>
    <w:rsid w:val="00AD0404"/>
    <w:rsid w:val="00AD19FF"/>
    <w:rsid w:val="00AD24F2"/>
    <w:rsid w:val="00AD2749"/>
    <w:rsid w:val="00AD4825"/>
    <w:rsid w:val="00AD77D6"/>
    <w:rsid w:val="00AE1BAB"/>
    <w:rsid w:val="00AE2C43"/>
    <w:rsid w:val="00AE76E4"/>
    <w:rsid w:val="00AF33CE"/>
    <w:rsid w:val="00AF4841"/>
    <w:rsid w:val="00AF4CD3"/>
    <w:rsid w:val="00B06B50"/>
    <w:rsid w:val="00B06CAF"/>
    <w:rsid w:val="00B12F49"/>
    <w:rsid w:val="00B1510F"/>
    <w:rsid w:val="00B17EB2"/>
    <w:rsid w:val="00B20E55"/>
    <w:rsid w:val="00B37870"/>
    <w:rsid w:val="00B4242E"/>
    <w:rsid w:val="00B425D8"/>
    <w:rsid w:val="00B45EB5"/>
    <w:rsid w:val="00B470EB"/>
    <w:rsid w:val="00B52079"/>
    <w:rsid w:val="00B53A83"/>
    <w:rsid w:val="00B54DC2"/>
    <w:rsid w:val="00B5590D"/>
    <w:rsid w:val="00B55EB1"/>
    <w:rsid w:val="00B56E6B"/>
    <w:rsid w:val="00B61F77"/>
    <w:rsid w:val="00B62CE0"/>
    <w:rsid w:val="00B66D2D"/>
    <w:rsid w:val="00B67DEA"/>
    <w:rsid w:val="00B776FC"/>
    <w:rsid w:val="00B77965"/>
    <w:rsid w:val="00B818DF"/>
    <w:rsid w:val="00B913BE"/>
    <w:rsid w:val="00B92B83"/>
    <w:rsid w:val="00B932F0"/>
    <w:rsid w:val="00B97161"/>
    <w:rsid w:val="00BA010C"/>
    <w:rsid w:val="00BA0BDC"/>
    <w:rsid w:val="00BA21F1"/>
    <w:rsid w:val="00BA25DD"/>
    <w:rsid w:val="00BA270E"/>
    <w:rsid w:val="00BA2D33"/>
    <w:rsid w:val="00BA7E40"/>
    <w:rsid w:val="00BB26FC"/>
    <w:rsid w:val="00BB7F78"/>
    <w:rsid w:val="00BC2466"/>
    <w:rsid w:val="00BC434A"/>
    <w:rsid w:val="00BC4C8F"/>
    <w:rsid w:val="00BC70F8"/>
    <w:rsid w:val="00BC7FCD"/>
    <w:rsid w:val="00BD1462"/>
    <w:rsid w:val="00BD1811"/>
    <w:rsid w:val="00BD741D"/>
    <w:rsid w:val="00BE7520"/>
    <w:rsid w:val="00BF0585"/>
    <w:rsid w:val="00C001FB"/>
    <w:rsid w:val="00C006C4"/>
    <w:rsid w:val="00C02AEA"/>
    <w:rsid w:val="00C0338F"/>
    <w:rsid w:val="00C03CF1"/>
    <w:rsid w:val="00C075CE"/>
    <w:rsid w:val="00C12EEA"/>
    <w:rsid w:val="00C20641"/>
    <w:rsid w:val="00C220C6"/>
    <w:rsid w:val="00C230EF"/>
    <w:rsid w:val="00C233CA"/>
    <w:rsid w:val="00C2385A"/>
    <w:rsid w:val="00C24BB0"/>
    <w:rsid w:val="00C27100"/>
    <w:rsid w:val="00C2782E"/>
    <w:rsid w:val="00C3204C"/>
    <w:rsid w:val="00C43BE5"/>
    <w:rsid w:val="00C4604E"/>
    <w:rsid w:val="00C47365"/>
    <w:rsid w:val="00C5073D"/>
    <w:rsid w:val="00C51AA3"/>
    <w:rsid w:val="00C5684B"/>
    <w:rsid w:val="00C602FE"/>
    <w:rsid w:val="00C60EA0"/>
    <w:rsid w:val="00C63461"/>
    <w:rsid w:val="00C66CF0"/>
    <w:rsid w:val="00C71794"/>
    <w:rsid w:val="00C7194D"/>
    <w:rsid w:val="00C7326F"/>
    <w:rsid w:val="00C75E96"/>
    <w:rsid w:val="00C822CD"/>
    <w:rsid w:val="00C8310E"/>
    <w:rsid w:val="00C831AB"/>
    <w:rsid w:val="00C840CA"/>
    <w:rsid w:val="00C85DF0"/>
    <w:rsid w:val="00C85EB4"/>
    <w:rsid w:val="00C939F5"/>
    <w:rsid w:val="00C95A93"/>
    <w:rsid w:val="00C95F71"/>
    <w:rsid w:val="00C972A6"/>
    <w:rsid w:val="00C97F25"/>
    <w:rsid w:val="00CA0547"/>
    <w:rsid w:val="00CA1887"/>
    <w:rsid w:val="00CA586F"/>
    <w:rsid w:val="00CA59D1"/>
    <w:rsid w:val="00CA5E69"/>
    <w:rsid w:val="00CA6FB8"/>
    <w:rsid w:val="00CB1445"/>
    <w:rsid w:val="00CB16C2"/>
    <w:rsid w:val="00CB1D0C"/>
    <w:rsid w:val="00CC1F4D"/>
    <w:rsid w:val="00CC5419"/>
    <w:rsid w:val="00CC63CA"/>
    <w:rsid w:val="00CC6587"/>
    <w:rsid w:val="00CD0CC8"/>
    <w:rsid w:val="00CD11B0"/>
    <w:rsid w:val="00CD448B"/>
    <w:rsid w:val="00CE3A40"/>
    <w:rsid w:val="00CE49E4"/>
    <w:rsid w:val="00CE4C47"/>
    <w:rsid w:val="00CE607F"/>
    <w:rsid w:val="00CF25AC"/>
    <w:rsid w:val="00CF27CB"/>
    <w:rsid w:val="00CF3360"/>
    <w:rsid w:val="00CF3523"/>
    <w:rsid w:val="00CF3CAD"/>
    <w:rsid w:val="00D03C78"/>
    <w:rsid w:val="00D03DFA"/>
    <w:rsid w:val="00D06978"/>
    <w:rsid w:val="00D069D7"/>
    <w:rsid w:val="00D06E2E"/>
    <w:rsid w:val="00D10852"/>
    <w:rsid w:val="00D10F0A"/>
    <w:rsid w:val="00D12B41"/>
    <w:rsid w:val="00D13646"/>
    <w:rsid w:val="00D14A9C"/>
    <w:rsid w:val="00D15055"/>
    <w:rsid w:val="00D170F4"/>
    <w:rsid w:val="00D205B8"/>
    <w:rsid w:val="00D20835"/>
    <w:rsid w:val="00D2088B"/>
    <w:rsid w:val="00D22C9B"/>
    <w:rsid w:val="00D23BCB"/>
    <w:rsid w:val="00D2460B"/>
    <w:rsid w:val="00D26026"/>
    <w:rsid w:val="00D3060E"/>
    <w:rsid w:val="00D34467"/>
    <w:rsid w:val="00D3693B"/>
    <w:rsid w:val="00D406BA"/>
    <w:rsid w:val="00D4355F"/>
    <w:rsid w:val="00D4780A"/>
    <w:rsid w:val="00D501B1"/>
    <w:rsid w:val="00D51EBA"/>
    <w:rsid w:val="00D52687"/>
    <w:rsid w:val="00D60AE4"/>
    <w:rsid w:val="00D60BC3"/>
    <w:rsid w:val="00D65AE7"/>
    <w:rsid w:val="00D675E5"/>
    <w:rsid w:val="00D71D44"/>
    <w:rsid w:val="00D7206D"/>
    <w:rsid w:val="00D72E25"/>
    <w:rsid w:val="00D76C16"/>
    <w:rsid w:val="00D80D0B"/>
    <w:rsid w:val="00D8216F"/>
    <w:rsid w:val="00D83FB3"/>
    <w:rsid w:val="00D92505"/>
    <w:rsid w:val="00D9461C"/>
    <w:rsid w:val="00D97903"/>
    <w:rsid w:val="00D97A7E"/>
    <w:rsid w:val="00DA1DE8"/>
    <w:rsid w:val="00DA3D42"/>
    <w:rsid w:val="00DB2490"/>
    <w:rsid w:val="00DB35A1"/>
    <w:rsid w:val="00DC0119"/>
    <w:rsid w:val="00DC1DE1"/>
    <w:rsid w:val="00DC28F6"/>
    <w:rsid w:val="00DC5FAD"/>
    <w:rsid w:val="00DC72A1"/>
    <w:rsid w:val="00DD0792"/>
    <w:rsid w:val="00DD08AE"/>
    <w:rsid w:val="00DD2FA7"/>
    <w:rsid w:val="00DD422F"/>
    <w:rsid w:val="00DD45BC"/>
    <w:rsid w:val="00DE29B3"/>
    <w:rsid w:val="00DE4A01"/>
    <w:rsid w:val="00DF05C2"/>
    <w:rsid w:val="00DF12CE"/>
    <w:rsid w:val="00DF6D87"/>
    <w:rsid w:val="00E01389"/>
    <w:rsid w:val="00E03C04"/>
    <w:rsid w:val="00E040D5"/>
    <w:rsid w:val="00E04F51"/>
    <w:rsid w:val="00E07AB7"/>
    <w:rsid w:val="00E07CEA"/>
    <w:rsid w:val="00E1259C"/>
    <w:rsid w:val="00E12D82"/>
    <w:rsid w:val="00E21E5C"/>
    <w:rsid w:val="00E224AD"/>
    <w:rsid w:val="00E23116"/>
    <w:rsid w:val="00E25252"/>
    <w:rsid w:val="00E27FCD"/>
    <w:rsid w:val="00E30567"/>
    <w:rsid w:val="00E35341"/>
    <w:rsid w:val="00E356DB"/>
    <w:rsid w:val="00E37212"/>
    <w:rsid w:val="00E40D6A"/>
    <w:rsid w:val="00E43908"/>
    <w:rsid w:val="00E43D15"/>
    <w:rsid w:val="00E43FDF"/>
    <w:rsid w:val="00E463D6"/>
    <w:rsid w:val="00E63155"/>
    <w:rsid w:val="00E75006"/>
    <w:rsid w:val="00E75D89"/>
    <w:rsid w:val="00E75DE2"/>
    <w:rsid w:val="00E81502"/>
    <w:rsid w:val="00E81A7F"/>
    <w:rsid w:val="00E83078"/>
    <w:rsid w:val="00E848D2"/>
    <w:rsid w:val="00E87E8A"/>
    <w:rsid w:val="00E91659"/>
    <w:rsid w:val="00E922D0"/>
    <w:rsid w:val="00EA3314"/>
    <w:rsid w:val="00EA4959"/>
    <w:rsid w:val="00EB0C1C"/>
    <w:rsid w:val="00EB0D49"/>
    <w:rsid w:val="00EB1A0A"/>
    <w:rsid w:val="00EB403D"/>
    <w:rsid w:val="00EB62FC"/>
    <w:rsid w:val="00EB6746"/>
    <w:rsid w:val="00EC2A26"/>
    <w:rsid w:val="00EC2EAF"/>
    <w:rsid w:val="00EC6A54"/>
    <w:rsid w:val="00EC6FFD"/>
    <w:rsid w:val="00ED1140"/>
    <w:rsid w:val="00ED12C0"/>
    <w:rsid w:val="00ED29EC"/>
    <w:rsid w:val="00ED5F4A"/>
    <w:rsid w:val="00ED6192"/>
    <w:rsid w:val="00ED6D4C"/>
    <w:rsid w:val="00EE260C"/>
    <w:rsid w:val="00EE351C"/>
    <w:rsid w:val="00EE3B5C"/>
    <w:rsid w:val="00EE511B"/>
    <w:rsid w:val="00EF115E"/>
    <w:rsid w:val="00EF4A60"/>
    <w:rsid w:val="00EF532A"/>
    <w:rsid w:val="00EF60AA"/>
    <w:rsid w:val="00EF6532"/>
    <w:rsid w:val="00F001FF"/>
    <w:rsid w:val="00F009D7"/>
    <w:rsid w:val="00F013A1"/>
    <w:rsid w:val="00F07632"/>
    <w:rsid w:val="00F07A06"/>
    <w:rsid w:val="00F07AE4"/>
    <w:rsid w:val="00F10A83"/>
    <w:rsid w:val="00F10B6E"/>
    <w:rsid w:val="00F179B9"/>
    <w:rsid w:val="00F213F9"/>
    <w:rsid w:val="00F259EF"/>
    <w:rsid w:val="00F27A48"/>
    <w:rsid w:val="00F316C4"/>
    <w:rsid w:val="00F31D9F"/>
    <w:rsid w:val="00F32643"/>
    <w:rsid w:val="00F350ED"/>
    <w:rsid w:val="00F35288"/>
    <w:rsid w:val="00F366F8"/>
    <w:rsid w:val="00F41725"/>
    <w:rsid w:val="00F436B1"/>
    <w:rsid w:val="00F459C4"/>
    <w:rsid w:val="00F45D3D"/>
    <w:rsid w:val="00F511BE"/>
    <w:rsid w:val="00F523F9"/>
    <w:rsid w:val="00F52C37"/>
    <w:rsid w:val="00F606E3"/>
    <w:rsid w:val="00F662AF"/>
    <w:rsid w:val="00F67289"/>
    <w:rsid w:val="00F67C0C"/>
    <w:rsid w:val="00F71472"/>
    <w:rsid w:val="00F7256A"/>
    <w:rsid w:val="00F80F21"/>
    <w:rsid w:val="00F81E50"/>
    <w:rsid w:val="00F83CC1"/>
    <w:rsid w:val="00F855B2"/>
    <w:rsid w:val="00F86F17"/>
    <w:rsid w:val="00F94B0B"/>
    <w:rsid w:val="00FA2C18"/>
    <w:rsid w:val="00FA7593"/>
    <w:rsid w:val="00FB0F6D"/>
    <w:rsid w:val="00FB212C"/>
    <w:rsid w:val="00FB5524"/>
    <w:rsid w:val="00FC0792"/>
    <w:rsid w:val="00FC20A8"/>
    <w:rsid w:val="00FC528A"/>
    <w:rsid w:val="00FD16BA"/>
    <w:rsid w:val="00FD583A"/>
    <w:rsid w:val="00FF5B7D"/>
    <w:rsid w:val="00FF7F55"/>
    <w:rsid w:val="0474ADAA"/>
    <w:rsid w:val="04B26598"/>
    <w:rsid w:val="0FAB368D"/>
    <w:rsid w:val="0FBB298F"/>
    <w:rsid w:val="14EC872D"/>
    <w:rsid w:val="3599A124"/>
    <w:rsid w:val="4D1692A3"/>
    <w:rsid w:val="4FF9F9DD"/>
    <w:rsid w:val="58232B52"/>
    <w:rsid w:val="684FFDD5"/>
    <w:rsid w:val="6CDD65D8"/>
    <w:rsid w:val="6E793639"/>
    <w:rsid w:val="74056F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C2632"/>
  <w14:defaultImageDpi w14:val="32767"/>
  <w15:chartTrackingRefBased/>
  <w15:docId w15:val="{85D626FB-AD75-413E-94A0-87B685822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4F51"/>
    <w:pPr>
      <w:jc w:val="both"/>
    </w:pPr>
    <w:rPr>
      <w:rFonts w:ascii="Arial" w:hAnsi="Arial"/>
    </w:rPr>
  </w:style>
  <w:style w:type="paragraph" w:styleId="berschrift1">
    <w:name w:val="heading 1"/>
    <w:basedOn w:val="Standard"/>
    <w:next w:val="Standard"/>
    <w:link w:val="berschrift1Zchn"/>
    <w:uiPriority w:val="9"/>
    <w:qFormat/>
    <w:rsid w:val="00B12F49"/>
    <w:pPr>
      <w:keepNext/>
      <w:keepLines/>
      <w:numPr>
        <w:numId w:val="1"/>
      </w:numPr>
      <w:spacing w:before="240"/>
      <w:outlineLvl w:val="0"/>
    </w:pPr>
    <w:rPr>
      <w:rFonts w:ascii="Helvetica Neue LT Com 75" w:eastAsiaTheme="majorEastAsia" w:hAnsi="Helvetica Neue LT Com 75" w:cstheme="majorBidi"/>
      <w:b/>
      <w:sz w:val="32"/>
      <w:szCs w:val="32"/>
    </w:rPr>
  </w:style>
  <w:style w:type="paragraph" w:styleId="berschrift2">
    <w:name w:val="heading 2"/>
    <w:basedOn w:val="Standard"/>
    <w:next w:val="Standard"/>
    <w:link w:val="berschrift2Zchn"/>
    <w:uiPriority w:val="9"/>
    <w:unhideWhenUsed/>
    <w:qFormat/>
    <w:rsid w:val="003D5318"/>
    <w:pPr>
      <w:keepNext/>
      <w:keepLines/>
      <w:numPr>
        <w:ilvl w:val="1"/>
        <w:numId w:val="1"/>
      </w:numPr>
      <w:spacing w:before="40"/>
      <w:jc w:val="center"/>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CC5419"/>
    <w:pPr>
      <w:keepNext/>
      <w:keepLines/>
      <w:numPr>
        <w:ilvl w:val="2"/>
        <w:numId w:val="1"/>
      </w:numPr>
      <w:spacing w:before="40"/>
      <w:outlineLvl w:val="2"/>
    </w:pPr>
    <w:rPr>
      <w:rFonts w:ascii="Helvetica Neue LT Com 75" w:eastAsiaTheme="majorEastAsia" w:hAnsi="Helvetica Neue LT Com 75"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B12F49"/>
    <w:rPr>
      <w:rFonts w:ascii="Helvetica Neue LT Com 75" w:eastAsiaTheme="majorEastAsia" w:hAnsi="Helvetica Neue LT Com 75" w:cstheme="majorBidi"/>
      <w:b/>
      <w:sz w:val="32"/>
      <w:szCs w:val="32"/>
    </w:rPr>
  </w:style>
  <w:style w:type="character" w:customStyle="1" w:styleId="berschrift2Zchn">
    <w:name w:val="Überschrift 2 Zchn"/>
    <w:basedOn w:val="Absatz-Standardschriftart"/>
    <w:link w:val="berschrift2"/>
    <w:uiPriority w:val="9"/>
    <w:rsid w:val="003D5318"/>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CC5419"/>
    <w:rPr>
      <w:rFonts w:ascii="Helvetica Neue LT Com 75" w:eastAsiaTheme="majorEastAsia" w:hAnsi="Helvetica Neue LT Com 75"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2D0A76"/>
    <w:pPr>
      <w:numPr>
        <w:numId w:val="0"/>
      </w:numPr>
      <w:spacing w:after="0" w:line="259" w:lineRule="auto"/>
      <w:outlineLvl w:val="9"/>
    </w:pPr>
    <w:rPr>
      <w:rFonts w:asciiTheme="majorHAnsi" w:hAnsiTheme="majorHAnsi"/>
      <w:b w:val="0"/>
      <w:color w:val="BF9800" w:themeColor="accent1" w:themeShade="BF"/>
      <w:lang w:eastAsia="de-DE"/>
    </w:rPr>
  </w:style>
  <w:style w:type="paragraph" w:styleId="Verzeichnis1">
    <w:name w:val="toc 1"/>
    <w:basedOn w:val="Standard"/>
    <w:next w:val="Standard"/>
    <w:autoRedefine/>
    <w:uiPriority w:val="39"/>
    <w:unhideWhenUsed/>
    <w:rsid w:val="002D0A76"/>
    <w:pPr>
      <w:spacing w:after="100"/>
    </w:pPr>
  </w:style>
  <w:style w:type="paragraph" w:styleId="Verzeichnis2">
    <w:name w:val="toc 2"/>
    <w:basedOn w:val="Standard"/>
    <w:next w:val="Standard"/>
    <w:autoRedefine/>
    <w:uiPriority w:val="39"/>
    <w:unhideWhenUsed/>
    <w:rsid w:val="002D0A76"/>
    <w:pPr>
      <w:spacing w:after="100"/>
      <w:ind w:left="240"/>
    </w:pPr>
  </w:style>
  <w:style w:type="paragraph" w:styleId="Verzeichnis3">
    <w:name w:val="toc 3"/>
    <w:basedOn w:val="Standard"/>
    <w:next w:val="Standard"/>
    <w:autoRedefine/>
    <w:uiPriority w:val="39"/>
    <w:unhideWhenUsed/>
    <w:rsid w:val="002D0A76"/>
    <w:pPr>
      <w:spacing w:after="100"/>
      <w:ind w:left="480"/>
    </w:pPr>
  </w:style>
  <w:style w:type="paragraph" w:customStyle="1" w:styleId="Vertragberschrift1">
    <w:name w:val="Vertrag Überschrift 1"/>
    <w:basedOn w:val="berschrift1"/>
    <w:link w:val="Vertragberschrift1Zchn"/>
    <w:autoRedefine/>
    <w:qFormat/>
    <w:rsid w:val="00CA5E69"/>
    <w:pPr>
      <w:spacing w:line="240" w:lineRule="auto"/>
      <w:jc w:val="center"/>
    </w:pPr>
    <w:rPr>
      <w:rFonts w:ascii="Arial" w:hAnsi="Arial"/>
    </w:rPr>
  </w:style>
  <w:style w:type="character" w:customStyle="1" w:styleId="Vertragberschrift1Zchn">
    <w:name w:val="Vertrag Überschrift 1 Zchn"/>
    <w:basedOn w:val="berschrift1Zchn"/>
    <w:link w:val="Vertragberschrift1"/>
    <w:rsid w:val="00CA5E69"/>
    <w:rPr>
      <w:rFonts w:ascii="Arial" w:eastAsiaTheme="majorEastAsia" w:hAnsi="Arial" w:cstheme="majorBidi"/>
      <w:b/>
      <w:sz w:val="32"/>
      <w:szCs w:val="32"/>
    </w:rPr>
  </w:style>
  <w:style w:type="paragraph" w:styleId="Listenabsatz">
    <w:name w:val="List Paragraph"/>
    <w:basedOn w:val="Standard"/>
    <w:uiPriority w:val="34"/>
    <w:qFormat/>
    <w:rsid w:val="00CC6587"/>
    <w:pPr>
      <w:ind w:left="720"/>
      <w:contextualSpacing/>
    </w:pPr>
  </w:style>
  <w:style w:type="character" w:styleId="Kommentarzeichen">
    <w:name w:val="annotation reference"/>
    <w:basedOn w:val="Absatz-Standardschriftart"/>
    <w:uiPriority w:val="99"/>
    <w:semiHidden/>
    <w:unhideWhenUsed/>
    <w:rsid w:val="006D0003"/>
    <w:rPr>
      <w:sz w:val="16"/>
      <w:szCs w:val="16"/>
    </w:rPr>
  </w:style>
  <w:style w:type="paragraph" w:styleId="Kommentartext">
    <w:name w:val="annotation text"/>
    <w:basedOn w:val="Standard"/>
    <w:link w:val="KommentartextZchn"/>
    <w:uiPriority w:val="99"/>
    <w:unhideWhenUsed/>
    <w:rsid w:val="006D0003"/>
    <w:pPr>
      <w:spacing w:line="240" w:lineRule="auto"/>
    </w:pPr>
    <w:rPr>
      <w:sz w:val="20"/>
      <w:szCs w:val="20"/>
    </w:rPr>
  </w:style>
  <w:style w:type="character" w:customStyle="1" w:styleId="KommentartextZchn">
    <w:name w:val="Kommentartext Zchn"/>
    <w:basedOn w:val="Absatz-Standardschriftart"/>
    <w:link w:val="Kommentartext"/>
    <w:uiPriority w:val="99"/>
    <w:rsid w:val="006D0003"/>
    <w:rPr>
      <w:rFonts w:ascii="Helvetica Neue LT Com 45 Light" w:hAnsi="Helvetica Neue LT Com 45 Light"/>
      <w:sz w:val="20"/>
      <w:szCs w:val="20"/>
    </w:rPr>
  </w:style>
  <w:style w:type="paragraph" w:styleId="Kommentarthema">
    <w:name w:val="annotation subject"/>
    <w:basedOn w:val="Kommentartext"/>
    <w:next w:val="Kommentartext"/>
    <w:link w:val="KommentarthemaZchn"/>
    <w:uiPriority w:val="99"/>
    <w:semiHidden/>
    <w:unhideWhenUsed/>
    <w:rsid w:val="006D0003"/>
    <w:rPr>
      <w:b/>
      <w:bCs/>
    </w:rPr>
  </w:style>
  <w:style w:type="character" w:customStyle="1" w:styleId="KommentarthemaZchn">
    <w:name w:val="Kommentarthema Zchn"/>
    <w:basedOn w:val="KommentartextZchn"/>
    <w:link w:val="Kommentarthema"/>
    <w:uiPriority w:val="99"/>
    <w:semiHidden/>
    <w:rsid w:val="006D0003"/>
    <w:rPr>
      <w:rFonts w:ascii="Helvetica Neue LT Com 45 Light" w:hAnsi="Helvetica Neue LT Com 45 Light"/>
      <w:b/>
      <w:bCs/>
      <w:sz w:val="20"/>
      <w:szCs w:val="20"/>
    </w:rPr>
  </w:style>
  <w:style w:type="paragraph" w:styleId="Titel">
    <w:name w:val="Title"/>
    <w:basedOn w:val="Standard"/>
    <w:next w:val="Standard"/>
    <w:link w:val="TitelZchn"/>
    <w:uiPriority w:val="10"/>
    <w:qFormat/>
    <w:rsid w:val="009A6A0D"/>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A6A0D"/>
    <w:rPr>
      <w:rFonts w:asciiTheme="majorHAnsi" w:eastAsiaTheme="majorEastAsia" w:hAnsiTheme="majorHAnsi" w:cstheme="majorBidi"/>
      <w:spacing w:val="-10"/>
      <w:kern w:val="28"/>
      <w:sz w:val="56"/>
      <w:szCs w:val="56"/>
    </w:rPr>
  </w:style>
  <w:style w:type="paragraph" w:customStyle="1" w:styleId="VertragNummer">
    <w:name w:val="Vertrag_Nummer"/>
    <w:basedOn w:val="Standard"/>
    <w:link w:val="VertragNummerZchn"/>
    <w:qFormat/>
    <w:rsid w:val="00187340"/>
    <w:pPr>
      <w:numPr>
        <w:numId w:val="2"/>
      </w:numPr>
    </w:pPr>
  </w:style>
  <w:style w:type="character" w:customStyle="1" w:styleId="VertragNummerZchn">
    <w:name w:val="Vertrag_Nummer Zchn"/>
    <w:basedOn w:val="Absatz-Standardschriftart"/>
    <w:link w:val="VertragNummer"/>
    <w:rsid w:val="00187340"/>
    <w:rPr>
      <w:rFonts w:ascii="Arial" w:hAnsi="Arial"/>
    </w:rPr>
  </w:style>
  <w:style w:type="character" w:styleId="BesuchterLink">
    <w:name w:val="FollowedHyperlink"/>
    <w:basedOn w:val="Absatz-Standardschriftart"/>
    <w:uiPriority w:val="99"/>
    <w:semiHidden/>
    <w:unhideWhenUsed/>
    <w:rsid w:val="00462F57"/>
    <w:rPr>
      <w:color w:val="1C1C1C" w:themeColor="followedHyperlink"/>
      <w:u w:val="single"/>
    </w:rPr>
  </w:style>
  <w:style w:type="paragraph" w:customStyle="1" w:styleId="VertragEbeneNormal">
    <w:name w:val="Vertrag_Ebene_Normal"/>
    <w:basedOn w:val="VertragNummer"/>
    <w:link w:val="VertragEbeneNormalZchn"/>
    <w:qFormat/>
    <w:rsid w:val="00863215"/>
    <w:pPr>
      <w:numPr>
        <w:numId w:val="0"/>
      </w:numPr>
      <w:ind w:left="360" w:hanging="360"/>
    </w:pPr>
  </w:style>
  <w:style w:type="character" w:customStyle="1" w:styleId="VertragEbeneNormalZchn">
    <w:name w:val="Vertrag_Ebene_Normal Zchn"/>
    <w:basedOn w:val="VertragNummerZchn"/>
    <w:link w:val="VertragEbeneNormal"/>
    <w:rsid w:val="002240F6"/>
    <w:rPr>
      <w:rFonts w:ascii="Arial" w:hAnsi="Arial"/>
    </w:rPr>
  </w:style>
  <w:style w:type="character" w:styleId="Fett">
    <w:name w:val="Strong"/>
    <w:basedOn w:val="Absatz-Standardschriftart"/>
    <w:uiPriority w:val="22"/>
    <w:qFormat/>
    <w:rsid w:val="00030BC2"/>
    <w:rPr>
      <w:b/>
      <w:bCs/>
    </w:rPr>
  </w:style>
  <w:style w:type="paragraph" w:styleId="Textkrper2">
    <w:name w:val="Body Text 2"/>
    <w:basedOn w:val="Standard"/>
    <w:link w:val="Textkrper2Zchn"/>
    <w:rsid w:val="001C2466"/>
    <w:pPr>
      <w:spacing w:after="0" w:line="240" w:lineRule="auto"/>
    </w:pPr>
    <w:rPr>
      <w:rFonts w:eastAsia="Times New Roman" w:cs="Times New Roman"/>
      <w:sz w:val="22"/>
      <w:szCs w:val="20"/>
      <w:lang w:eastAsia="de-DE"/>
    </w:rPr>
  </w:style>
  <w:style w:type="character" w:customStyle="1" w:styleId="Textkrper2Zchn">
    <w:name w:val="Textkörper 2 Zchn"/>
    <w:basedOn w:val="Absatz-Standardschriftart"/>
    <w:link w:val="Textkrper2"/>
    <w:rsid w:val="001C2466"/>
    <w:rPr>
      <w:rFonts w:ascii="Arial" w:eastAsia="Times New Roman" w:hAnsi="Arial" w:cs="Times New Roman"/>
      <w:sz w:val="22"/>
      <w:szCs w:val="20"/>
      <w:lang w:eastAsia="de-DE"/>
    </w:rPr>
  </w:style>
  <w:style w:type="paragraph" w:styleId="StandardWeb">
    <w:name w:val="Normal (Web)"/>
    <w:basedOn w:val="Standard"/>
    <w:uiPriority w:val="99"/>
    <w:unhideWhenUsed/>
    <w:rsid w:val="00B913BE"/>
    <w:pPr>
      <w:spacing w:before="100" w:beforeAutospacing="1" w:after="100" w:afterAutospacing="1" w:line="240" w:lineRule="auto"/>
      <w:jc w:val="left"/>
    </w:pPr>
    <w:rPr>
      <w:rFonts w:ascii="Times New Roman" w:eastAsia="Times New Roman" w:hAnsi="Times New Roman" w:cs="Times New Roman"/>
      <w:lang w:eastAsia="de-DE"/>
    </w:rPr>
  </w:style>
  <w:style w:type="paragraph" w:styleId="berarbeitung">
    <w:name w:val="Revision"/>
    <w:hidden/>
    <w:uiPriority w:val="99"/>
    <w:semiHidden/>
    <w:rsid w:val="00AD0404"/>
    <w:pPr>
      <w:spacing w:after="0" w:line="240" w:lineRule="auto"/>
    </w:pPr>
    <w:rPr>
      <w:rFonts w:ascii="Arial" w:hAnsi="Arial"/>
    </w:rPr>
  </w:style>
  <w:style w:type="table" w:styleId="Tabellenraster">
    <w:name w:val="Table Grid"/>
    <w:basedOn w:val="NormaleTabelle"/>
    <w:uiPriority w:val="59"/>
    <w:rsid w:val="00A946C5"/>
    <w:pPr>
      <w:spacing w:after="0" w:line="240" w:lineRule="auto"/>
    </w:pPr>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rsid w:val="008C0D27"/>
    <w:pPr>
      <w:numPr>
        <w:numId w:val="20"/>
      </w:numPr>
      <w:contextualSpacing/>
      <w:jc w:val="left"/>
    </w:pPr>
    <w:rPr>
      <w:rFonts w:asciiTheme="minorHAnsi" w:eastAsiaTheme="minorEastAsia" w:hAnsiTheme="minorHAnsi"/>
      <w:sz w:val="22"/>
      <w:szCs w:val="22"/>
      <w:lang w:val="en-US"/>
    </w:rPr>
  </w:style>
  <w:style w:type="character" w:customStyle="1" w:styleId="relative">
    <w:name w:val="relative"/>
    <w:basedOn w:val="Absatz-Standardschriftart"/>
    <w:rsid w:val="00F67289"/>
  </w:style>
  <w:style w:type="paragraph" w:customStyle="1" w:styleId="not-prose">
    <w:name w:val="not-prose"/>
    <w:basedOn w:val="Standard"/>
    <w:rsid w:val="00F67289"/>
    <w:pPr>
      <w:spacing w:before="100" w:beforeAutospacing="1" w:after="100" w:afterAutospacing="1" w:line="240" w:lineRule="auto"/>
      <w:jc w:val="left"/>
    </w:pPr>
    <w:rPr>
      <w:rFonts w:ascii="Times New Roman" w:eastAsia="Times New Roman" w:hAnsi="Times New Roman" w:cs="Times New Roman"/>
      <w:lang w:eastAsia="de-DE"/>
    </w:rPr>
  </w:style>
  <w:style w:type="character" w:styleId="Hervorhebung">
    <w:name w:val="Emphasis"/>
    <w:basedOn w:val="Absatz-Standardschriftart"/>
    <w:uiPriority w:val="20"/>
    <w:qFormat/>
    <w:rsid w:val="00F67289"/>
    <w:rPr>
      <w:i/>
      <w:iCs/>
    </w:rPr>
  </w:style>
  <w:style w:type="paragraph" w:customStyle="1" w:styleId="Aufzhlung">
    <w:name w:val="Aufzählung"/>
    <w:qFormat/>
    <w:rsid w:val="00E23116"/>
    <w:pPr>
      <w:numPr>
        <w:numId w:val="40"/>
      </w:numPr>
      <w:spacing w:after="0" w:line="288" w:lineRule="auto"/>
    </w:pPr>
    <w:rPr>
      <w:rFonts w:ascii="Arial" w:hAnsi="Arial"/>
      <w:szCs w:val="22"/>
      <w:lang w:eastAsia="de-DE"/>
    </w:rPr>
  </w:style>
  <w:style w:type="paragraph" w:customStyle="1" w:styleId="pdq2pgselectionanchorcontainer">
    <w:name w:val="pdq2pg_selectionanchorcontainer"/>
    <w:basedOn w:val="Standard"/>
    <w:rsid w:val="00682DE9"/>
    <w:pPr>
      <w:spacing w:before="100" w:beforeAutospacing="1" w:after="100" w:afterAutospacing="1" w:line="240" w:lineRule="auto"/>
      <w:jc w:val="left"/>
    </w:pPr>
    <w:rPr>
      <w:rFonts w:ascii="Times New Roman" w:eastAsia="Times New Roman" w:hAnsi="Times New Roman" w:cs="Times New Roman"/>
      <w:lang w:eastAsia="de-DE"/>
    </w:rPr>
  </w:style>
  <w:style w:type="paragraph" w:styleId="Textkrper">
    <w:name w:val="Body Text"/>
    <w:basedOn w:val="Standard"/>
    <w:link w:val="TextkrperZchn"/>
    <w:uiPriority w:val="99"/>
    <w:unhideWhenUsed/>
    <w:rsid w:val="00CC63CA"/>
    <w:pPr>
      <w:spacing w:after="120"/>
    </w:pPr>
  </w:style>
  <w:style w:type="character" w:customStyle="1" w:styleId="TextkrperZchn">
    <w:name w:val="Textkörper Zchn"/>
    <w:basedOn w:val="Absatz-Standardschriftart"/>
    <w:link w:val="Textkrper"/>
    <w:uiPriority w:val="99"/>
    <w:rsid w:val="00CC63C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6706">
      <w:bodyDiv w:val="1"/>
      <w:marLeft w:val="0"/>
      <w:marRight w:val="0"/>
      <w:marTop w:val="0"/>
      <w:marBottom w:val="0"/>
      <w:divBdr>
        <w:top w:val="none" w:sz="0" w:space="0" w:color="auto"/>
        <w:left w:val="none" w:sz="0" w:space="0" w:color="auto"/>
        <w:bottom w:val="none" w:sz="0" w:space="0" w:color="auto"/>
        <w:right w:val="none" w:sz="0" w:space="0" w:color="auto"/>
      </w:divBdr>
    </w:div>
    <w:div w:id="95366454">
      <w:bodyDiv w:val="1"/>
      <w:marLeft w:val="0"/>
      <w:marRight w:val="0"/>
      <w:marTop w:val="0"/>
      <w:marBottom w:val="0"/>
      <w:divBdr>
        <w:top w:val="none" w:sz="0" w:space="0" w:color="auto"/>
        <w:left w:val="none" w:sz="0" w:space="0" w:color="auto"/>
        <w:bottom w:val="none" w:sz="0" w:space="0" w:color="auto"/>
        <w:right w:val="none" w:sz="0" w:space="0" w:color="auto"/>
      </w:divBdr>
    </w:div>
    <w:div w:id="176192609">
      <w:bodyDiv w:val="1"/>
      <w:marLeft w:val="0"/>
      <w:marRight w:val="0"/>
      <w:marTop w:val="0"/>
      <w:marBottom w:val="0"/>
      <w:divBdr>
        <w:top w:val="none" w:sz="0" w:space="0" w:color="auto"/>
        <w:left w:val="none" w:sz="0" w:space="0" w:color="auto"/>
        <w:bottom w:val="none" w:sz="0" w:space="0" w:color="auto"/>
        <w:right w:val="none" w:sz="0" w:space="0" w:color="auto"/>
      </w:divBdr>
    </w:div>
    <w:div w:id="180052851">
      <w:bodyDiv w:val="1"/>
      <w:marLeft w:val="0"/>
      <w:marRight w:val="0"/>
      <w:marTop w:val="0"/>
      <w:marBottom w:val="0"/>
      <w:divBdr>
        <w:top w:val="none" w:sz="0" w:space="0" w:color="auto"/>
        <w:left w:val="none" w:sz="0" w:space="0" w:color="auto"/>
        <w:bottom w:val="none" w:sz="0" w:space="0" w:color="auto"/>
        <w:right w:val="none" w:sz="0" w:space="0" w:color="auto"/>
      </w:divBdr>
    </w:div>
    <w:div w:id="212472621">
      <w:bodyDiv w:val="1"/>
      <w:marLeft w:val="0"/>
      <w:marRight w:val="0"/>
      <w:marTop w:val="0"/>
      <w:marBottom w:val="0"/>
      <w:divBdr>
        <w:top w:val="none" w:sz="0" w:space="0" w:color="auto"/>
        <w:left w:val="none" w:sz="0" w:space="0" w:color="auto"/>
        <w:bottom w:val="none" w:sz="0" w:space="0" w:color="auto"/>
        <w:right w:val="none" w:sz="0" w:space="0" w:color="auto"/>
      </w:divBdr>
    </w:div>
    <w:div w:id="301234970">
      <w:bodyDiv w:val="1"/>
      <w:marLeft w:val="0"/>
      <w:marRight w:val="0"/>
      <w:marTop w:val="0"/>
      <w:marBottom w:val="0"/>
      <w:divBdr>
        <w:top w:val="none" w:sz="0" w:space="0" w:color="auto"/>
        <w:left w:val="none" w:sz="0" w:space="0" w:color="auto"/>
        <w:bottom w:val="none" w:sz="0" w:space="0" w:color="auto"/>
        <w:right w:val="none" w:sz="0" w:space="0" w:color="auto"/>
      </w:divBdr>
    </w:div>
    <w:div w:id="369501272">
      <w:bodyDiv w:val="1"/>
      <w:marLeft w:val="0"/>
      <w:marRight w:val="0"/>
      <w:marTop w:val="0"/>
      <w:marBottom w:val="0"/>
      <w:divBdr>
        <w:top w:val="none" w:sz="0" w:space="0" w:color="auto"/>
        <w:left w:val="none" w:sz="0" w:space="0" w:color="auto"/>
        <w:bottom w:val="none" w:sz="0" w:space="0" w:color="auto"/>
        <w:right w:val="none" w:sz="0" w:space="0" w:color="auto"/>
      </w:divBdr>
    </w:div>
    <w:div w:id="467867130">
      <w:bodyDiv w:val="1"/>
      <w:marLeft w:val="0"/>
      <w:marRight w:val="0"/>
      <w:marTop w:val="0"/>
      <w:marBottom w:val="0"/>
      <w:divBdr>
        <w:top w:val="none" w:sz="0" w:space="0" w:color="auto"/>
        <w:left w:val="none" w:sz="0" w:space="0" w:color="auto"/>
        <w:bottom w:val="none" w:sz="0" w:space="0" w:color="auto"/>
        <w:right w:val="none" w:sz="0" w:space="0" w:color="auto"/>
      </w:divBdr>
    </w:div>
    <w:div w:id="484249397">
      <w:bodyDiv w:val="1"/>
      <w:marLeft w:val="0"/>
      <w:marRight w:val="0"/>
      <w:marTop w:val="0"/>
      <w:marBottom w:val="0"/>
      <w:divBdr>
        <w:top w:val="none" w:sz="0" w:space="0" w:color="auto"/>
        <w:left w:val="none" w:sz="0" w:space="0" w:color="auto"/>
        <w:bottom w:val="none" w:sz="0" w:space="0" w:color="auto"/>
        <w:right w:val="none" w:sz="0" w:space="0" w:color="auto"/>
      </w:divBdr>
    </w:div>
    <w:div w:id="595139844">
      <w:bodyDiv w:val="1"/>
      <w:marLeft w:val="0"/>
      <w:marRight w:val="0"/>
      <w:marTop w:val="0"/>
      <w:marBottom w:val="0"/>
      <w:divBdr>
        <w:top w:val="none" w:sz="0" w:space="0" w:color="auto"/>
        <w:left w:val="none" w:sz="0" w:space="0" w:color="auto"/>
        <w:bottom w:val="none" w:sz="0" w:space="0" w:color="auto"/>
        <w:right w:val="none" w:sz="0" w:space="0" w:color="auto"/>
      </w:divBdr>
    </w:div>
    <w:div w:id="951519188">
      <w:bodyDiv w:val="1"/>
      <w:marLeft w:val="0"/>
      <w:marRight w:val="0"/>
      <w:marTop w:val="0"/>
      <w:marBottom w:val="0"/>
      <w:divBdr>
        <w:top w:val="none" w:sz="0" w:space="0" w:color="auto"/>
        <w:left w:val="none" w:sz="0" w:space="0" w:color="auto"/>
        <w:bottom w:val="none" w:sz="0" w:space="0" w:color="auto"/>
        <w:right w:val="none" w:sz="0" w:space="0" w:color="auto"/>
      </w:divBdr>
    </w:div>
    <w:div w:id="954288816">
      <w:bodyDiv w:val="1"/>
      <w:marLeft w:val="0"/>
      <w:marRight w:val="0"/>
      <w:marTop w:val="0"/>
      <w:marBottom w:val="0"/>
      <w:divBdr>
        <w:top w:val="none" w:sz="0" w:space="0" w:color="auto"/>
        <w:left w:val="none" w:sz="0" w:space="0" w:color="auto"/>
        <w:bottom w:val="none" w:sz="0" w:space="0" w:color="auto"/>
        <w:right w:val="none" w:sz="0" w:space="0" w:color="auto"/>
      </w:divBdr>
    </w:div>
    <w:div w:id="969165662">
      <w:bodyDiv w:val="1"/>
      <w:marLeft w:val="0"/>
      <w:marRight w:val="0"/>
      <w:marTop w:val="0"/>
      <w:marBottom w:val="0"/>
      <w:divBdr>
        <w:top w:val="none" w:sz="0" w:space="0" w:color="auto"/>
        <w:left w:val="none" w:sz="0" w:space="0" w:color="auto"/>
        <w:bottom w:val="none" w:sz="0" w:space="0" w:color="auto"/>
        <w:right w:val="none" w:sz="0" w:space="0" w:color="auto"/>
      </w:divBdr>
    </w:div>
    <w:div w:id="1010721328">
      <w:bodyDiv w:val="1"/>
      <w:marLeft w:val="0"/>
      <w:marRight w:val="0"/>
      <w:marTop w:val="0"/>
      <w:marBottom w:val="0"/>
      <w:divBdr>
        <w:top w:val="none" w:sz="0" w:space="0" w:color="auto"/>
        <w:left w:val="none" w:sz="0" w:space="0" w:color="auto"/>
        <w:bottom w:val="none" w:sz="0" w:space="0" w:color="auto"/>
        <w:right w:val="none" w:sz="0" w:space="0" w:color="auto"/>
      </w:divBdr>
    </w:div>
    <w:div w:id="1124930921">
      <w:bodyDiv w:val="1"/>
      <w:marLeft w:val="0"/>
      <w:marRight w:val="0"/>
      <w:marTop w:val="0"/>
      <w:marBottom w:val="0"/>
      <w:divBdr>
        <w:top w:val="none" w:sz="0" w:space="0" w:color="auto"/>
        <w:left w:val="none" w:sz="0" w:space="0" w:color="auto"/>
        <w:bottom w:val="none" w:sz="0" w:space="0" w:color="auto"/>
        <w:right w:val="none" w:sz="0" w:space="0" w:color="auto"/>
      </w:divBdr>
    </w:div>
    <w:div w:id="1340960748">
      <w:bodyDiv w:val="1"/>
      <w:marLeft w:val="0"/>
      <w:marRight w:val="0"/>
      <w:marTop w:val="0"/>
      <w:marBottom w:val="0"/>
      <w:divBdr>
        <w:top w:val="none" w:sz="0" w:space="0" w:color="auto"/>
        <w:left w:val="none" w:sz="0" w:space="0" w:color="auto"/>
        <w:bottom w:val="none" w:sz="0" w:space="0" w:color="auto"/>
        <w:right w:val="none" w:sz="0" w:space="0" w:color="auto"/>
      </w:divBdr>
    </w:div>
    <w:div w:id="1469518275">
      <w:bodyDiv w:val="1"/>
      <w:marLeft w:val="0"/>
      <w:marRight w:val="0"/>
      <w:marTop w:val="0"/>
      <w:marBottom w:val="0"/>
      <w:divBdr>
        <w:top w:val="none" w:sz="0" w:space="0" w:color="auto"/>
        <w:left w:val="none" w:sz="0" w:space="0" w:color="auto"/>
        <w:bottom w:val="none" w:sz="0" w:space="0" w:color="auto"/>
        <w:right w:val="none" w:sz="0" w:space="0" w:color="auto"/>
      </w:divBdr>
    </w:div>
    <w:div w:id="1501113733">
      <w:bodyDiv w:val="1"/>
      <w:marLeft w:val="0"/>
      <w:marRight w:val="0"/>
      <w:marTop w:val="0"/>
      <w:marBottom w:val="0"/>
      <w:divBdr>
        <w:top w:val="none" w:sz="0" w:space="0" w:color="auto"/>
        <w:left w:val="none" w:sz="0" w:space="0" w:color="auto"/>
        <w:bottom w:val="none" w:sz="0" w:space="0" w:color="auto"/>
        <w:right w:val="none" w:sz="0" w:space="0" w:color="auto"/>
      </w:divBdr>
    </w:div>
    <w:div w:id="1554582088">
      <w:bodyDiv w:val="1"/>
      <w:marLeft w:val="0"/>
      <w:marRight w:val="0"/>
      <w:marTop w:val="0"/>
      <w:marBottom w:val="0"/>
      <w:divBdr>
        <w:top w:val="none" w:sz="0" w:space="0" w:color="auto"/>
        <w:left w:val="none" w:sz="0" w:space="0" w:color="auto"/>
        <w:bottom w:val="none" w:sz="0" w:space="0" w:color="auto"/>
        <w:right w:val="none" w:sz="0" w:space="0" w:color="auto"/>
      </w:divBdr>
    </w:div>
    <w:div w:id="1555192764">
      <w:bodyDiv w:val="1"/>
      <w:marLeft w:val="0"/>
      <w:marRight w:val="0"/>
      <w:marTop w:val="0"/>
      <w:marBottom w:val="0"/>
      <w:divBdr>
        <w:top w:val="none" w:sz="0" w:space="0" w:color="auto"/>
        <w:left w:val="none" w:sz="0" w:space="0" w:color="auto"/>
        <w:bottom w:val="none" w:sz="0" w:space="0" w:color="auto"/>
        <w:right w:val="none" w:sz="0" w:space="0" w:color="auto"/>
      </w:divBdr>
    </w:div>
    <w:div w:id="1555660569">
      <w:bodyDiv w:val="1"/>
      <w:marLeft w:val="0"/>
      <w:marRight w:val="0"/>
      <w:marTop w:val="0"/>
      <w:marBottom w:val="0"/>
      <w:divBdr>
        <w:top w:val="none" w:sz="0" w:space="0" w:color="auto"/>
        <w:left w:val="none" w:sz="0" w:space="0" w:color="auto"/>
        <w:bottom w:val="none" w:sz="0" w:space="0" w:color="auto"/>
        <w:right w:val="none" w:sz="0" w:space="0" w:color="auto"/>
      </w:divBdr>
    </w:div>
    <w:div w:id="1616448348">
      <w:bodyDiv w:val="1"/>
      <w:marLeft w:val="0"/>
      <w:marRight w:val="0"/>
      <w:marTop w:val="0"/>
      <w:marBottom w:val="0"/>
      <w:divBdr>
        <w:top w:val="none" w:sz="0" w:space="0" w:color="auto"/>
        <w:left w:val="none" w:sz="0" w:space="0" w:color="auto"/>
        <w:bottom w:val="none" w:sz="0" w:space="0" w:color="auto"/>
        <w:right w:val="none" w:sz="0" w:space="0" w:color="auto"/>
      </w:divBdr>
    </w:div>
    <w:div w:id="1646468463">
      <w:bodyDiv w:val="1"/>
      <w:marLeft w:val="0"/>
      <w:marRight w:val="0"/>
      <w:marTop w:val="0"/>
      <w:marBottom w:val="0"/>
      <w:divBdr>
        <w:top w:val="none" w:sz="0" w:space="0" w:color="auto"/>
        <w:left w:val="none" w:sz="0" w:space="0" w:color="auto"/>
        <w:bottom w:val="none" w:sz="0" w:space="0" w:color="auto"/>
        <w:right w:val="none" w:sz="0" w:space="0" w:color="auto"/>
      </w:divBdr>
    </w:div>
    <w:div w:id="1677464336">
      <w:bodyDiv w:val="1"/>
      <w:marLeft w:val="0"/>
      <w:marRight w:val="0"/>
      <w:marTop w:val="0"/>
      <w:marBottom w:val="0"/>
      <w:divBdr>
        <w:top w:val="none" w:sz="0" w:space="0" w:color="auto"/>
        <w:left w:val="none" w:sz="0" w:space="0" w:color="auto"/>
        <w:bottom w:val="none" w:sz="0" w:space="0" w:color="auto"/>
        <w:right w:val="none" w:sz="0" w:space="0" w:color="auto"/>
      </w:divBdr>
    </w:div>
    <w:div w:id="1745879758">
      <w:bodyDiv w:val="1"/>
      <w:marLeft w:val="0"/>
      <w:marRight w:val="0"/>
      <w:marTop w:val="0"/>
      <w:marBottom w:val="0"/>
      <w:divBdr>
        <w:top w:val="none" w:sz="0" w:space="0" w:color="auto"/>
        <w:left w:val="none" w:sz="0" w:space="0" w:color="auto"/>
        <w:bottom w:val="none" w:sz="0" w:space="0" w:color="auto"/>
        <w:right w:val="none" w:sz="0" w:space="0" w:color="auto"/>
      </w:divBdr>
    </w:div>
    <w:div w:id="1930653279">
      <w:bodyDiv w:val="1"/>
      <w:marLeft w:val="0"/>
      <w:marRight w:val="0"/>
      <w:marTop w:val="0"/>
      <w:marBottom w:val="0"/>
      <w:divBdr>
        <w:top w:val="none" w:sz="0" w:space="0" w:color="auto"/>
        <w:left w:val="none" w:sz="0" w:space="0" w:color="auto"/>
        <w:bottom w:val="none" w:sz="0" w:space="0" w:color="auto"/>
        <w:right w:val="none" w:sz="0" w:space="0" w:color="auto"/>
      </w:divBdr>
    </w:div>
    <w:div w:id="1991522901">
      <w:bodyDiv w:val="1"/>
      <w:marLeft w:val="0"/>
      <w:marRight w:val="0"/>
      <w:marTop w:val="0"/>
      <w:marBottom w:val="0"/>
      <w:divBdr>
        <w:top w:val="none" w:sz="0" w:space="0" w:color="auto"/>
        <w:left w:val="none" w:sz="0" w:space="0" w:color="auto"/>
        <w:bottom w:val="none" w:sz="0" w:space="0" w:color="auto"/>
        <w:right w:val="none" w:sz="0" w:space="0" w:color="auto"/>
      </w:divBdr>
    </w:div>
    <w:div w:id="2004162097">
      <w:bodyDiv w:val="1"/>
      <w:marLeft w:val="0"/>
      <w:marRight w:val="0"/>
      <w:marTop w:val="0"/>
      <w:marBottom w:val="0"/>
      <w:divBdr>
        <w:top w:val="none" w:sz="0" w:space="0" w:color="auto"/>
        <w:left w:val="none" w:sz="0" w:space="0" w:color="auto"/>
        <w:bottom w:val="none" w:sz="0" w:space="0" w:color="auto"/>
        <w:right w:val="none" w:sz="0" w:space="0" w:color="auto"/>
      </w:divBdr>
    </w:div>
    <w:div w:id="2016762959">
      <w:bodyDiv w:val="1"/>
      <w:marLeft w:val="0"/>
      <w:marRight w:val="0"/>
      <w:marTop w:val="0"/>
      <w:marBottom w:val="0"/>
      <w:divBdr>
        <w:top w:val="none" w:sz="0" w:space="0" w:color="auto"/>
        <w:left w:val="none" w:sz="0" w:space="0" w:color="auto"/>
        <w:bottom w:val="none" w:sz="0" w:space="0" w:color="auto"/>
        <w:right w:val="none" w:sz="0" w:space="0" w:color="auto"/>
      </w:divBdr>
    </w:div>
    <w:div w:id="2035963211">
      <w:bodyDiv w:val="1"/>
      <w:marLeft w:val="0"/>
      <w:marRight w:val="0"/>
      <w:marTop w:val="0"/>
      <w:marBottom w:val="0"/>
      <w:divBdr>
        <w:top w:val="none" w:sz="0" w:space="0" w:color="auto"/>
        <w:left w:val="none" w:sz="0" w:space="0" w:color="auto"/>
        <w:bottom w:val="none" w:sz="0" w:space="0" w:color="auto"/>
        <w:right w:val="none" w:sz="0" w:space="0" w:color="auto"/>
      </w:divBdr>
    </w:div>
    <w:div w:id="2042630704">
      <w:bodyDiv w:val="1"/>
      <w:marLeft w:val="0"/>
      <w:marRight w:val="0"/>
      <w:marTop w:val="0"/>
      <w:marBottom w:val="0"/>
      <w:divBdr>
        <w:top w:val="none" w:sz="0" w:space="0" w:color="auto"/>
        <w:left w:val="none" w:sz="0" w:space="0" w:color="auto"/>
        <w:bottom w:val="none" w:sz="0" w:space="0" w:color="auto"/>
        <w:right w:val="none" w:sz="0" w:space="0" w:color="auto"/>
      </w:divBdr>
    </w:div>
    <w:div w:id="2062171762">
      <w:bodyDiv w:val="1"/>
      <w:marLeft w:val="0"/>
      <w:marRight w:val="0"/>
      <w:marTop w:val="0"/>
      <w:marBottom w:val="0"/>
      <w:divBdr>
        <w:top w:val="none" w:sz="0" w:space="0" w:color="auto"/>
        <w:left w:val="none" w:sz="0" w:space="0" w:color="auto"/>
        <w:bottom w:val="none" w:sz="0" w:space="0" w:color="auto"/>
        <w:right w:val="none" w:sz="0" w:space="0" w:color="auto"/>
      </w:divBdr>
    </w:div>
    <w:div w:id="2122646567">
      <w:bodyDiv w:val="1"/>
      <w:marLeft w:val="0"/>
      <w:marRight w:val="0"/>
      <w:marTop w:val="0"/>
      <w:marBottom w:val="0"/>
      <w:divBdr>
        <w:top w:val="none" w:sz="0" w:space="0" w:color="auto"/>
        <w:left w:val="none" w:sz="0" w:space="0" w:color="auto"/>
        <w:bottom w:val="none" w:sz="0" w:space="0" w:color="auto"/>
        <w:right w:val="none" w:sz="0" w:space="0" w:color="auto"/>
      </w:divBdr>
    </w:div>
    <w:div w:id="2126001805">
      <w:bodyDiv w:val="1"/>
      <w:marLeft w:val="0"/>
      <w:marRight w:val="0"/>
      <w:marTop w:val="0"/>
      <w:marBottom w:val="0"/>
      <w:divBdr>
        <w:top w:val="none" w:sz="0" w:space="0" w:color="auto"/>
        <w:left w:val="none" w:sz="0" w:space="0" w:color="auto"/>
        <w:bottom w:val="none" w:sz="0" w:space="0" w:color="auto"/>
        <w:right w:val="none" w:sz="0" w:space="0" w:color="auto"/>
      </w:divBdr>
    </w:div>
    <w:div w:id="214199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0B707A-8D33-4E76-9A58-801CC4647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3.xml><?xml version="1.0" encoding="utf-8"?>
<ds:datastoreItem xmlns:ds="http://schemas.openxmlformats.org/officeDocument/2006/customXml" ds:itemID="{47A01D26-ADD7-4CBE-B955-9CC91A9E2887}">
  <ds:schemaRefs>
    <ds:schemaRef ds:uri="http://schemas.openxmlformats.org/officeDocument/2006/bibliography"/>
  </ds:schemaRefs>
</ds:datastoreItem>
</file>

<file path=customXml/itemProps4.xml><?xml version="1.0" encoding="utf-8"?>
<ds:datastoreItem xmlns:ds="http://schemas.openxmlformats.org/officeDocument/2006/customXml" ds:itemID="{8BA6EF59-F375-4FC2-8CE9-2C49DBB9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2181</Words>
  <Characters>13742</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Alice.Benad@dvbag.de</dc:creator>
  <cp:keywords/>
  <dc:description/>
  <cp:lastModifiedBy>Stumpf Niklas, BLE2</cp:lastModifiedBy>
  <cp:revision>51</cp:revision>
  <cp:lastPrinted>2025-10-01T03:44:00Z</cp:lastPrinted>
  <dcterms:created xsi:type="dcterms:W3CDTF">2026-08-18T11:17:00Z</dcterms:created>
  <dcterms:modified xsi:type="dcterms:W3CDTF">2026-10-05T12:31:00Z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