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2E4F9" w14:textId="77777777" w:rsidR="00454946" w:rsidRDefault="00667DFE" w:rsidP="00454946">
      <w:pPr>
        <w:jc w:val="center"/>
        <w:rPr>
          <w:rFonts w:cs="Arial"/>
          <w:b/>
          <w:sz w:val="24"/>
          <w:szCs w:val="24"/>
          <w:lang w:val="de-DE"/>
        </w:rPr>
      </w:pPr>
      <w:r>
        <w:rPr>
          <w:rFonts w:cs="Arial"/>
          <w:b/>
          <w:sz w:val="24"/>
          <w:szCs w:val="24"/>
          <w:lang w:val="de-DE"/>
        </w:rPr>
        <w:br/>
      </w:r>
      <w:r>
        <w:rPr>
          <w:rFonts w:cs="Arial"/>
          <w:b/>
          <w:sz w:val="24"/>
          <w:szCs w:val="24"/>
          <w:lang w:val="de-DE"/>
        </w:rPr>
        <w:br/>
        <w:t>Vertrag</w:t>
      </w:r>
    </w:p>
    <w:p w14:paraId="76296E4B" w14:textId="344474EB" w:rsidR="00080D3E" w:rsidRDefault="00667DFE" w:rsidP="00454946">
      <w:pPr>
        <w:jc w:val="center"/>
        <w:rPr>
          <w:rFonts w:cs="Arial"/>
          <w:b/>
          <w:sz w:val="24"/>
          <w:szCs w:val="24"/>
          <w:lang w:val="de-DE"/>
        </w:rPr>
      </w:pPr>
      <w:r>
        <w:rPr>
          <w:rFonts w:cs="Arial"/>
          <w:b/>
          <w:sz w:val="24"/>
          <w:szCs w:val="24"/>
          <w:lang w:val="de-DE"/>
        </w:rPr>
        <w:br/>
      </w:r>
      <w:r>
        <w:rPr>
          <w:rFonts w:cs="Arial"/>
          <w:bCs/>
          <w:sz w:val="24"/>
          <w:szCs w:val="24"/>
          <w:lang w:val="de-DE"/>
        </w:rPr>
        <w:t>über</w:t>
      </w:r>
      <w:r>
        <w:rPr>
          <w:rFonts w:cs="Arial"/>
          <w:b/>
          <w:sz w:val="24"/>
          <w:szCs w:val="24"/>
          <w:lang w:val="de-DE"/>
        </w:rPr>
        <w:br/>
      </w:r>
    </w:p>
    <w:p w14:paraId="39C6C86E" w14:textId="41463AD4" w:rsidR="00026706" w:rsidRDefault="00454946" w:rsidP="00080D3E">
      <w:pPr>
        <w:jc w:val="center"/>
        <w:rPr>
          <w:rFonts w:cs="Arial"/>
          <w:b/>
          <w:sz w:val="24"/>
          <w:szCs w:val="24"/>
          <w:lang w:val="de-DE"/>
        </w:rPr>
      </w:pPr>
      <w:r>
        <w:rPr>
          <w:rFonts w:cs="Arial"/>
          <w:b/>
          <w:sz w:val="24"/>
          <w:szCs w:val="24"/>
          <w:lang w:val="de-DE"/>
        </w:rPr>
        <w:t xml:space="preserve">die </w:t>
      </w:r>
      <w:r>
        <w:rPr>
          <w:rFonts w:eastAsia="HelveticaNeueLT Com 45 Lt" w:cs="Times New Roman"/>
          <w:b/>
          <w:sz w:val="22"/>
          <w:lang w:val="de-DE"/>
        </w:rPr>
        <w:t xml:space="preserve">Entwicklung, Lieferung und Ersatzversorgung von Türsteuergeräten </w:t>
      </w:r>
      <w:r>
        <w:rPr>
          <w:rFonts w:cs="Arial"/>
          <w:b/>
          <w:sz w:val="24"/>
          <w:szCs w:val="24"/>
          <w:lang w:val="de-DE"/>
        </w:rPr>
        <w:t xml:space="preserve">für die Fahrzeugtypen NGT D8 DD und NGT D12 DD </w:t>
      </w:r>
    </w:p>
    <w:p w14:paraId="26D1DB58" w14:textId="45286566" w:rsidR="00080D3E" w:rsidRPr="00080D3E" w:rsidRDefault="00080D3E" w:rsidP="00080D3E">
      <w:pPr>
        <w:jc w:val="center"/>
        <w:rPr>
          <w:rFonts w:cs="Arial"/>
          <w:bCs/>
          <w:i/>
          <w:iCs/>
          <w:sz w:val="24"/>
          <w:szCs w:val="24"/>
          <w:lang w:val="de-DE"/>
        </w:rPr>
      </w:pPr>
      <w:r>
        <w:rPr>
          <w:rFonts w:cs="Arial"/>
          <w:bCs/>
          <w:i/>
          <w:iCs/>
          <w:sz w:val="24"/>
          <w:szCs w:val="24"/>
          <w:lang w:val="de-DE"/>
        </w:rPr>
        <w:t>Vorgangsnummer: 2026-00172</w:t>
      </w:r>
    </w:p>
    <w:p w14:paraId="5C7E4351" w14:textId="149EAFFB" w:rsidR="00CA2BD5" w:rsidRPr="00413501" w:rsidRDefault="00667DFE" w:rsidP="00080D3E">
      <w:pPr>
        <w:jc w:val="center"/>
        <w:rPr>
          <w:rFonts w:cs="Arial"/>
          <w:sz w:val="24"/>
          <w:szCs w:val="24"/>
          <w:lang w:val="de-DE"/>
        </w:rPr>
      </w:pPr>
      <w:r>
        <w:rPr>
          <w:rFonts w:cs="Arial"/>
          <w:sz w:val="24"/>
          <w:szCs w:val="24"/>
          <w:lang w:val="de-DE"/>
        </w:rPr>
        <w:br/>
        <w:t>zwischen</w:t>
      </w:r>
    </w:p>
    <w:p w14:paraId="72E9705C" w14:textId="77777777" w:rsidR="00CA2BD5" w:rsidRPr="00413501" w:rsidRDefault="00667DFE">
      <w:pPr>
        <w:jc w:val="center"/>
        <w:rPr>
          <w:rFonts w:cs="Arial"/>
          <w:sz w:val="24"/>
          <w:szCs w:val="24"/>
          <w:lang w:val="de-DE"/>
        </w:rPr>
      </w:pPr>
      <w:r>
        <w:rPr>
          <w:rFonts w:cs="Arial"/>
          <w:b/>
          <w:sz w:val="24"/>
          <w:szCs w:val="24"/>
          <w:lang w:val="de-DE"/>
        </w:rPr>
        <w:t>Dresdner Verkehrsbetriebe AG</w:t>
      </w:r>
      <w:r>
        <w:rPr>
          <w:rFonts w:cs="Arial"/>
          <w:b/>
          <w:sz w:val="24"/>
          <w:szCs w:val="24"/>
          <w:lang w:val="de-DE"/>
        </w:rPr>
        <w:br/>
        <w:t>Trachenberger Straße 40</w:t>
      </w:r>
      <w:r>
        <w:rPr>
          <w:rFonts w:cs="Arial"/>
          <w:b/>
          <w:sz w:val="24"/>
          <w:szCs w:val="24"/>
          <w:lang w:val="de-DE"/>
        </w:rPr>
        <w:br/>
        <w:t>01129 Dresden</w:t>
      </w:r>
      <w:r>
        <w:rPr>
          <w:rFonts w:cs="Arial"/>
          <w:b/>
          <w:sz w:val="24"/>
          <w:szCs w:val="24"/>
          <w:lang w:val="de-DE"/>
        </w:rPr>
        <w:br/>
        <w:t>vertreten durch den Vorstand</w:t>
      </w:r>
      <w:r>
        <w:rPr>
          <w:rFonts w:cs="Arial"/>
          <w:b/>
          <w:sz w:val="24"/>
          <w:szCs w:val="24"/>
          <w:lang w:val="de-DE"/>
        </w:rPr>
        <w:br/>
      </w:r>
      <w:r>
        <w:rPr>
          <w:rFonts w:cs="Arial"/>
          <w:sz w:val="24"/>
          <w:szCs w:val="24"/>
          <w:lang w:val="de-DE"/>
        </w:rPr>
        <w:t>- nachfolgend „Auftraggeber“ oder „AG“ genannt -</w:t>
      </w:r>
    </w:p>
    <w:p w14:paraId="008875E2" w14:textId="77777777" w:rsidR="00CA2BD5" w:rsidRPr="00413501" w:rsidRDefault="00667DFE">
      <w:pPr>
        <w:jc w:val="center"/>
        <w:rPr>
          <w:rFonts w:cs="Arial"/>
          <w:sz w:val="24"/>
          <w:szCs w:val="24"/>
          <w:lang w:val="de-DE"/>
        </w:rPr>
      </w:pPr>
      <w:r>
        <w:rPr>
          <w:rFonts w:cs="Arial"/>
          <w:sz w:val="24"/>
          <w:szCs w:val="24"/>
          <w:lang w:val="de-DE"/>
        </w:rPr>
        <w:br/>
        <w:t>und</w:t>
      </w:r>
    </w:p>
    <w:p w14:paraId="0E1F0757" w14:textId="77777777" w:rsidR="00CA2BD5" w:rsidRPr="00413501" w:rsidRDefault="00667DFE">
      <w:pPr>
        <w:jc w:val="center"/>
        <w:rPr>
          <w:rFonts w:cs="Arial"/>
          <w:sz w:val="24"/>
          <w:szCs w:val="24"/>
          <w:lang w:val="de-DE"/>
        </w:rPr>
      </w:pPr>
      <w:r>
        <w:rPr>
          <w:rFonts w:cs="Arial"/>
          <w:b/>
          <w:sz w:val="24"/>
          <w:szCs w:val="24"/>
          <w:lang w:val="de-DE"/>
        </w:rPr>
        <w:t>[Name Auftragnehmer]</w:t>
      </w:r>
      <w:r>
        <w:rPr>
          <w:rFonts w:cs="Arial"/>
          <w:b/>
          <w:sz w:val="24"/>
          <w:szCs w:val="24"/>
          <w:lang w:val="de-DE"/>
        </w:rPr>
        <w:br/>
        <w:t>[Adresse Auftragnehmer]</w:t>
      </w:r>
      <w:r>
        <w:rPr>
          <w:rFonts w:cs="Arial"/>
          <w:b/>
          <w:sz w:val="24"/>
          <w:szCs w:val="24"/>
          <w:lang w:val="de-DE"/>
        </w:rPr>
        <w:br/>
      </w:r>
      <w:r>
        <w:rPr>
          <w:rFonts w:cs="Arial"/>
          <w:sz w:val="24"/>
          <w:szCs w:val="24"/>
          <w:lang w:val="de-DE"/>
        </w:rPr>
        <w:t>- nachfolgend „Auftragnehmer“ oder „AN“ genannt -</w:t>
      </w:r>
    </w:p>
    <w:p w14:paraId="57695CD6" w14:textId="7D6D511B" w:rsidR="00CA2BD5" w:rsidRPr="00413501" w:rsidRDefault="00667DFE">
      <w:pPr>
        <w:jc w:val="center"/>
        <w:rPr>
          <w:rFonts w:cs="Arial"/>
          <w:sz w:val="24"/>
          <w:szCs w:val="24"/>
          <w:lang w:val="de-DE"/>
        </w:rPr>
      </w:pPr>
      <w:r>
        <w:rPr>
          <w:rFonts w:cs="Arial"/>
          <w:sz w:val="24"/>
          <w:szCs w:val="24"/>
          <w:lang w:val="de-DE"/>
        </w:rPr>
        <w:br/>
      </w:r>
    </w:p>
    <w:p w14:paraId="111E6368" w14:textId="77777777" w:rsidR="00137900" w:rsidRDefault="00137900" w:rsidP="00137900">
      <w:pPr>
        <w:rPr>
          <w:rFonts w:cs="Arial"/>
          <w:sz w:val="24"/>
          <w:szCs w:val="24"/>
          <w:lang w:val="de-DE"/>
        </w:rPr>
      </w:pPr>
    </w:p>
    <w:p w14:paraId="664DDCD1" w14:textId="77777777" w:rsidR="00137900" w:rsidRDefault="00137900" w:rsidP="00137900">
      <w:pPr>
        <w:rPr>
          <w:rFonts w:cs="Arial"/>
          <w:sz w:val="24"/>
          <w:szCs w:val="24"/>
          <w:lang w:val="de-DE"/>
        </w:rPr>
      </w:pPr>
    </w:p>
    <w:p w14:paraId="7D3C33D1" w14:textId="77777777" w:rsidR="00137900" w:rsidRDefault="00137900" w:rsidP="00137900">
      <w:pPr>
        <w:rPr>
          <w:rFonts w:cs="Arial"/>
          <w:sz w:val="24"/>
          <w:szCs w:val="24"/>
          <w:lang w:val="de-DE"/>
        </w:rPr>
      </w:pPr>
    </w:p>
    <w:p w14:paraId="614E1837" w14:textId="77777777" w:rsidR="00137900" w:rsidRDefault="00137900" w:rsidP="00137900">
      <w:pPr>
        <w:rPr>
          <w:rFonts w:cs="Arial"/>
          <w:sz w:val="24"/>
          <w:szCs w:val="24"/>
          <w:lang w:val="de-DE"/>
        </w:rPr>
      </w:pPr>
    </w:p>
    <w:p w14:paraId="0D89EBF3" w14:textId="77777777" w:rsidR="00137900" w:rsidRDefault="00137900" w:rsidP="00137900">
      <w:pPr>
        <w:rPr>
          <w:rFonts w:cs="Arial"/>
          <w:sz w:val="24"/>
          <w:szCs w:val="24"/>
          <w:lang w:val="de-DE"/>
        </w:rPr>
      </w:pPr>
    </w:p>
    <w:p w14:paraId="10AD178E" w14:textId="77777777" w:rsidR="00137900" w:rsidRDefault="00137900" w:rsidP="00137900">
      <w:pPr>
        <w:rPr>
          <w:rFonts w:cs="Arial"/>
          <w:sz w:val="24"/>
          <w:szCs w:val="24"/>
          <w:lang w:val="de-DE"/>
        </w:rPr>
      </w:pPr>
    </w:p>
    <w:p w14:paraId="0BA57FD5" w14:textId="77777777" w:rsidR="00137900" w:rsidRDefault="00137900" w:rsidP="00137900">
      <w:pPr>
        <w:rPr>
          <w:rFonts w:cs="Arial"/>
          <w:sz w:val="24"/>
          <w:szCs w:val="24"/>
          <w:lang w:val="de-DE"/>
        </w:rPr>
      </w:pPr>
    </w:p>
    <w:p w14:paraId="7BEAE1B8" w14:textId="77777777" w:rsidR="00454946" w:rsidRDefault="00454946" w:rsidP="00137900">
      <w:pPr>
        <w:rPr>
          <w:rFonts w:cs="Arial"/>
          <w:sz w:val="24"/>
          <w:szCs w:val="24"/>
          <w:lang w:val="de-DE"/>
        </w:rPr>
      </w:pPr>
    </w:p>
    <w:p w14:paraId="0E76ACF2" w14:textId="77777777" w:rsidR="00454946" w:rsidRDefault="00454946" w:rsidP="00137900">
      <w:pPr>
        <w:rPr>
          <w:rFonts w:cs="Arial"/>
          <w:sz w:val="24"/>
          <w:szCs w:val="24"/>
          <w:lang w:val="de-DE"/>
        </w:rPr>
      </w:pPr>
    </w:p>
    <w:p w14:paraId="0ADCB033" w14:textId="77777777" w:rsidR="00454946" w:rsidRDefault="00454946" w:rsidP="00137900">
      <w:pPr>
        <w:rPr>
          <w:rFonts w:cs="Arial"/>
          <w:sz w:val="24"/>
          <w:szCs w:val="24"/>
          <w:lang w:val="de-DE"/>
        </w:rPr>
      </w:pPr>
    </w:p>
    <w:p w14:paraId="3A96E29D" w14:textId="77777777" w:rsidR="00137900" w:rsidRDefault="00137900" w:rsidP="00137900">
      <w:pPr>
        <w:rPr>
          <w:rFonts w:cs="Arial"/>
          <w:sz w:val="24"/>
          <w:szCs w:val="24"/>
          <w:lang w:val="de-DE"/>
        </w:rPr>
      </w:pPr>
    </w:p>
    <w:p w14:paraId="033336F3" w14:textId="6F416399" w:rsidR="00137900" w:rsidRPr="00137900" w:rsidRDefault="00B90D81" w:rsidP="001A4152">
      <w:pPr>
        <w:keepNext/>
        <w:rPr>
          <w:rFonts w:cs="Arial"/>
          <w:sz w:val="32"/>
          <w:szCs w:val="32"/>
          <w:lang w:val="de-DE"/>
        </w:rPr>
      </w:pPr>
      <w:r>
        <w:rPr>
          <w:b/>
          <w:bCs/>
          <w:sz w:val="24"/>
          <w:szCs w:val="24"/>
        </w:rPr>
        <w:lastRenderedPageBreak/>
        <w:t>Inhaltsverzeichnis</w:t>
      </w:r>
    </w:p>
    <w:sdt>
      <w:sdtPr>
        <w:rPr>
          <w:rFonts w:eastAsia="Times New Roman" w:cs="Times New Roman"/>
          <w:b/>
          <w:sz w:val="20"/>
          <w:szCs w:val="20"/>
          <w:lang w:val="de-DE"/>
        </w:rPr>
        <w:id w:val="3826032"/>
        <w:docPartObj>
          <w:docPartGallery w:val="Table of Contents"/>
          <w:docPartUnique/>
        </w:docPartObj>
      </w:sdtPr>
      <w:sdtEndPr>
        <w:rPr>
          <w:sz w:val="22"/>
          <w:szCs w:val="22"/>
        </w:rPr>
      </w:sdtEndPr>
      <w:sdtContent>
        <w:p w14:paraId="3B3C972F" w14:textId="4D1D96E9" w:rsidR="00B90D81" w:rsidRPr="00137900" w:rsidRDefault="00B90D81" w:rsidP="001A4152">
          <w:pPr>
            <w:keepNext/>
            <w:tabs>
              <w:tab w:val="left" w:pos="567"/>
              <w:tab w:val="right" w:leader="dot" w:pos="9629"/>
            </w:tabs>
            <w:spacing w:line="240" w:lineRule="auto"/>
            <w:ind w:left="567" w:hanging="567"/>
            <w:rPr>
              <w:rFonts w:eastAsia="Times New Roman" w:cs="Times New Roman"/>
              <w:b/>
              <w:bCs/>
              <w:sz w:val="20"/>
              <w:szCs w:val="20"/>
              <w:lang w:val="de-DE"/>
            </w:rPr>
          </w:pPr>
        </w:p>
        <w:p w14:paraId="40BB3E14" w14:textId="7EA7FE6F" w:rsidR="00182703" w:rsidRDefault="00B90D81">
          <w:pPr>
            <w:pStyle w:val="Verzeichnis1"/>
            <w:tabs>
              <w:tab w:val="right" w:leader="dot" w:pos="9565"/>
            </w:tabs>
            <w:rPr>
              <w:rFonts w:asciiTheme="minorHAnsi" w:eastAsiaTheme="minorEastAsia" w:hAnsiTheme="minorHAnsi"/>
              <w:noProof/>
              <w:kern w:val="2"/>
              <w:sz w:val="24"/>
              <w:szCs w:val="24"/>
              <w:lang w:val="de-DE" w:eastAsia="de-DE"/>
              <w14:ligatures w14:val="standardContextual"/>
            </w:rPr>
          </w:pPr>
          <w:r>
            <w:rPr>
              <w:rFonts w:eastAsia="Times New Roman" w:cs="Times New Roman"/>
              <w:b/>
              <w:sz w:val="20"/>
              <w:szCs w:val="20"/>
              <w:lang w:val="de-DE"/>
            </w:rPr>
            <w:fldChar w:fldCharType="begin"/>
          </w:r>
          <w:r>
            <w:rPr>
              <w:rFonts w:eastAsia="Times New Roman" w:cs="Times New Roman"/>
              <w:b/>
              <w:sz w:val="20"/>
              <w:szCs w:val="20"/>
              <w:lang w:val="de-DE"/>
            </w:rPr>
            <w:instrText>TOC \o "1-1" \z \u \h</w:instrText>
          </w:r>
          <w:r>
            <w:rPr>
              <w:rFonts w:eastAsia="Times New Roman" w:cs="Times New Roman"/>
              <w:b/>
              <w:sz w:val="20"/>
              <w:szCs w:val="20"/>
              <w:lang w:val="de-DE"/>
            </w:rPr>
            <w:fldChar w:fldCharType="separate"/>
          </w:r>
          <w:hyperlink w:anchor="_Toc242102362" w:history="1">
            <w:r w:rsidR="00182703" w:rsidRPr="00AC1FE4">
              <w:rPr>
                <w:rStyle w:val="Hyperlink"/>
                <w:rFonts w:cs="Arial"/>
                <w:noProof/>
                <w:lang w:val="de-DE"/>
              </w:rPr>
              <w:t>Präambel</w:t>
            </w:r>
            <w:r w:rsidR="00182703">
              <w:rPr>
                <w:noProof/>
                <w:webHidden/>
              </w:rPr>
              <w:tab/>
            </w:r>
            <w:r w:rsidR="00182703">
              <w:rPr>
                <w:noProof/>
                <w:webHidden/>
              </w:rPr>
              <w:fldChar w:fldCharType="begin"/>
            </w:r>
            <w:r w:rsidR="00182703">
              <w:rPr>
                <w:noProof/>
                <w:webHidden/>
              </w:rPr>
              <w:instrText xml:space="preserve"> PAGEREF _Toc242102362 \h </w:instrText>
            </w:r>
            <w:r w:rsidR="00182703">
              <w:rPr>
                <w:noProof/>
                <w:webHidden/>
              </w:rPr>
            </w:r>
            <w:r w:rsidR="00182703">
              <w:rPr>
                <w:noProof/>
                <w:webHidden/>
              </w:rPr>
              <w:fldChar w:fldCharType="separate"/>
            </w:r>
            <w:r w:rsidR="00182703">
              <w:rPr>
                <w:noProof/>
                <w:webHidden/>
              </w:rPr>
              <w:t>3</w:t>
            </w:r>
            <w:r w:rsidR="00182703">
              <w:rPr>
                <w:noProof/>
                <w:webHidden/>
              </w:rPr>
              <w:fldChar w:fldCharType="end"/>
            </w:r>
          </w:hyperlink>
        </w:p>
        <w:p w14:paraId="6A495403" w14:textId="55F2CE10"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3" w:history="1">
            <w:r w:rsidRPr="00AC1FE4">
              <w:rPr>
                <w:rStyle w:val="Hyperlink"/>
                <w:rFonts w:cs="Arial"/>
                <w:noProof/>
              </w:rPr>
              <w:t>1.</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Vertragsgegenstand</w:t>
            </w:r>
            <w:r>
              <w:rPr>
                <w:noProof/>
                <w:webHidden/>
              </w:rPr>
              <w:tab/>
            </w:r>
            <w:r>
              <w:rPr>
                <w:noProof/>
                <w:webHidden/>
              </w:rPr>
              <w:fldChar w:fldCharType="begin"/>
            </w:r>
            <w:r>
              <w:rPr>
                <w:noProof/>
                <w:webHidden/>
              </w:rPr>
              <w:instrText xml:space="preserve"> PAGEREF _Toc242102363 \h </w:instrText>
            </w:r>
            <w:r>
              <w:rPr>
                <w:noProof/>
                <w:webHidden/>
              </w:rPr>
            </w:r>
            <w:r>
              <w:rPr>
                <w:noProof/>
                <w:webHidden/>
              </w:rPr>
              <w:fldChar w:fldCharType="separate"/>
            </w:r>
            <w:r>
              <w:rPr>
                <w:noProof/>
                <w:webHidden/>
              </w:rPr>
              <w:t>4</w:t>
            </w:r>
            <w:r>
              <w:rPr>
                <w:noProof/>
                <w:webHidden/>
              </w:rPr>
              <w:fldChar w:fldCharType="end"/>
            </w:r>
          </w:hyperlink>
        </w:p>
        <w:p w14:paraId="1A28F3A0" w14:textId="261EF2AC"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4" w:history="1">
            <w:r w:rsidRPr="00AC1FE4">
              <w:rPr>
                <w:rStyle w:val="Hyperlink"/>
                <w:noProof/>
              </w:rPr>
              <w:t>2.</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Vertragsbestandteile und Geltungsreihenfolge</w:t>
            </w:r>
            <w:r>
              <w:rPr>
                <w:noProof/>
                <w:webHidden/>
              </w:rPr>
              <w:tab/>
            </w:r>
            <w:r>
              <w:rPr>
                <w:noProof/>
                <w:webHidden/>
              </w:rPr>
              <w:fldChar w:fldCharType="begin"/>
            </w:r>
            <w:r>
              <w:rPr>
                <w:noProof/>
                <w:webHidden/>
              </w:rPr>
              <w:instrText xml:space="preserve"> PAGEREF _Toc242102364 \h </w:instrText>
            </w:r>
            <w:r>
              <w:rPr>
                <w:noProof/>
                <w:webHidden/>
              </w:rPr>
            </w:r>
            <w:r>
              <w:rPr>
                <w:noProof/>
                <w:webHidden/>
              </w:rPr>
              <w:fldChar w:fldCharType="separate"/>
            </w:r>
            <w:r>
              <w:rPr>
                <w:noProof/>
                <w:webHidden/>
              </w:rPr>
              <w:t>4</w:t>
            </w:r>
            <w:r>
              <w:rPr>
                <w:noProof/>
                <w:webHidden/>
              </w:rPr>
              <w:fldChar w:fldCharType="end"/>
            </w:r>
          </w:hyperlink>
        </w:p>
        <w:p w14:paraId="3016F042" w14:textId="0816CC7E"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5" w:history="1">
            <w:r w:rsidRPr="00AC1FE4">
              <w:rPr>
                <w:rStyle w:val="Hyperlink"/>
                <w:rFonts w:cs="Arial"/>
                <w:noProof/>
              </w:rPr>
              <w:t>3.</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Abruf optionaler Leistungen</w:t>
            </w:r>
            <w:r>
              <w:rPr>
                <w:noProof/>
                <w:webHidden/>
              </w:rPr>
              <w:tab/>
            </w:r>
            <w:r>
              <w:rPr>
                <w:noProof/>
                <w:webHidden/>
              </w:rPr>
              <w:fldChar w:fldCharType="begin"/>
            </w:r>
            <w:r>
              <w:rPr>
                <w:noProof/>
                <w:webHidden/>
              </w:rPr>
              <w:instrText xml:space="preserve"> PAGEREF _Toc242102365 \h </w:instrText>
            </w:r>
            <w:r>
              <w:rPr>
                <w:noProof/>
                <w:webHidden/>
              </w:rPr>
            </w:r>
            <w:r>
              <w:rPr>
                <w:noProof/>
                <w:webHidden/>
              </w:rPr>
              <w:fldChar w:fldCharType="separate"/>
            </w:r>
            <w:r>
              <w:rPr>
                <w:noProof/>
                <w:webHidden/>
              </w:rPr>
              <w:t>5</w:t>
            </w:r>
            <w:r>
              <w:rPr>
                <w:noProof/>
                <w:webHidden/>
              </w:rPr>
              <w:fldChar w:fldCharType="end"/>
            </w:r>
          </w:hyperlink>
        </w:p>
        <w:p w14:paraId="7B0BD11D" w14:textId="0940C9A4"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6" w:history="1">
            <w:r w:rsidRPr="00AC1FE4">
              <w:rPr>
                <w:rStyle w:val="Hyperlink"/>
                <w:rFonts w:cs="Arial"/>
                <w:noProof/>
              </w:rPr>
              <w:t>4.</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Leistungsumfang des Auftragnehmers/Vertragsphasen</w:t>
            </w:r>
            <w:r>
              <w:rPr>
                <w:noProof/>
                <w:webHidden/>
              </w:rPr>
              <w:tab/>
            </w:r>
            <w:r>
              <w:rPr>
                <w:noProof/>
                <w:webHidden/>
              </w:rPr>
              <w:fldChar w:fldCharType="begin"/>
            </w:r>
            <w:r>
              <w:rPr>
                <w:noProof/>
                <w:webHidden/>
              </w:rPr>
              <w:instrText xml:space="preserve"> PAGEREF _Toc242102366 \h </w:instrText>
            </w:r>
            <w:r>
              <w:rPr>
                <w:noProof/>
                <w:webHidden/>
              </w:rPr>
            </w:r>
            <w:r>
              <w:rPr>
                <w:noProof/>
                <w:webHidden/>
              </w:rPr>
              <w:fldChar w:fldCharType="separate"/>
            </w:r>
            <w:r>
              <w:rPr>
                <w:noProof/>
                <w:webHidden/>
              </w:rPr>
              <w:t>6</w:t>
            </w:r>
            <w:r>
              <w:rPr>
                <w:noProof/>
                <w:webHidden/>
              </w:rPr>
              <w:fldChar w:fldCharType="end"/>
            </w:r>
          </w:hyperlink>
        </w:p>
        <w:p w14:paraId="0F624E22" w14:textId="0E2A54FD"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7" w:history="1">
            <w:r w:rsidRPr="00AC1FE4">
              <w:rPr>
                <w:rStyle w:val="Hyperlink"/>
                <w:noProof/>
              </w:rPr>
              <w:t>5.</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Pflichten des Auftragnehmers</w:t>
            </w:r>
            <w:r>
              <w:rPr>
                <w:noProof/>
                <w:webHidden/>
              </w:rPr>
              <w:tab/>
            </w:r>
            <w:r>
              <w:rPr>
                <w:noProof/>
                <w:webHidden/>
              </w:rPr>
              <w:fldChar w:fldCharType="begin"/>
            </w:r>
            <w:r>
              <w:rPr>
                <w:noProof/>
                <w:webHidden/>
              </w:rPr>
              <w:instrText xml:space="preserve"> PAGEREF _Toc242102367 \h </w:instrText>
            </w:r>
            <w:r>
              <w:rPr>
                <w:noProof/>
                <w:webHidden/>
              </w:rPr>
            </w:r>
            <w:r>
              <w:rPr>
                <w:noProof/>
                <w:webHidden/>
              </w:rPr>
              <w:fldChar w:fldCharType="separate"/>
            </w:r>
            <w:r>
              <w:rPr>
                <w:noProof/>
                <w:webHidden/>
              </w:rPr>
              <w:t>9</w:t>
            </w:r>
            <w:r>
              <w:rPr>
                <w:noProof/>
                <w:webHidden/>
              </w:rPr>
              <w:fldChar w:fldCharType="end"/>
            </w:r>
          </w:hyperlink>
        </w:p>
        <w:p w14:paraId="495C26EC" w14:textId="09ED3193"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8" w:history="1">
            <w:r w:rsidRPr="00AC1FE4">
              <w:rPr>
                <w:rStyle w:val="Hyperlink"/>
                <w:noProof/>
              </w:rPr>
              <w:t>6.</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Versorgung des AG mit Ersatzgeräten</w:t>
            </w:r>
            <w:r>
              <w:rPr>
                <w:noProof/>
                <w:webHidden/>
              </w:rPr>
              <w:tab/>
            </w:r>
            <w:r>
              <w:rPr>
                <w:noProof/>
                <w:webHidden/>
              </w:rPr>
              <w:fldChar w:fldCharType="begin"/>
            </w:r>
            <w:r>
              <w:rPr>
                <w:noProof/>
                <w:webHidden/>
              </w:rPr>
              <w:instrText xml:space="preserve"> PAGEREF _Toc242102368 \h </w:instrText>
            </w:r>
            <w:r>
              <w:rPr>
                <w:noProof/>
                <w:webHidden/>
              </w:rPr>
            </w:r>
            <w:r>
              <w:rPr>
                <w:noProof/>
                <w:webHidden/>
              </w:rPr>
              <w:fldChar w:fldCharType="separate"/>
            </w:r>
            <w:r>
              <w:rPr>
                <w:noProof/>
                <w:webHidden/>
              </w:rPr>
              <w:t>12</w:t>
            </w:r>
            <w:r>
              <w:rPr>
                <w:noProof/>
                <w:webHidden/>
              </w:rPr>
              <w:fldChar w:fldCharType="end"/>
            </w:r>
          </w:hyperlink>
        </w:p>
        <w:p w14:paraId="6F4E0AE4" w14:textId="1443E643"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69" w:history="1">
            <w:r w:rsidRPr="00AC1FE4">
              <w:rPr>
                <w:rStyle w:val="Hyperlink"/>
                <w:rFonts w:cs="Arial"/>
                <w:noProof/>
              </w:rPr>
              <w:t>7.</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Nachunternehmer</w:t>
            </w:r>
            <w:r>
              <w:rPr>
                <w:noProof/>
                <w:webHidden/>
              </w:rPr>
              <w:tab/>
            </w:r>
            <w:r>
              <w:rPr>
                <w:noProof/>
                <w:webHidden/>
              </w:rPr>
              <w:fldChar w:fldCharType="begin"/>
            </w:r>
            <w:r>
              <w:rPr>
                <w:noProof/>
                <w:webHidden/>
              </w:rPr>
              <w:instrText xml:space="preserve"> PAGEREF _Toc242102369 \h </w:instrText>
            </w:r>
            <w:r>
              <w:rPr>
                <w:noProof/>
                <w:webHidden/>
              </w:rPr>
            </w:r>
            <w:r>
              <w:rPr>
                <w:noProof/>
                <w:webHidden/>
              </w:rPr>
              <w:fldChar w:fldCharType="separate"/>
            </w:r>
            <w:r>
              <w:rPr>
                <w:noProof/>
                <w:webHidden/>
              </w:rPr>
              <w:t>13</w:t>
            </w:r>
            <w:r>
              <w:rPr>
                <w:noProof/>
                <w:webHidden/>
              </w:rPr>
              <w:fldChar w:fldCharType="end"/>
            </w:r>
          </w:hyperlink>
        </w:p>
        <w:p w14:paraId="2004C0E5" w14:textId="75866F03"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0" w:history="1">
            <w:r w:rsidRPr="00AC1FE4">
              <w:rPr>
                <w:rStyle w:val="Hyperlink"/>
                <w:noProof/>
              </w:rPr>
              <w:t>8.</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Personal des Auftragnehmers</w:t>
            </w:r>
            <w:r>
              <w:rPr>
                <w:noProof/>
                <w:webHidden/>
              </w:rPr>
              <w:tab/>
            </w:r>
            <w:r>
              <w:rPr>
                <w:noProof/>
                <w:webHidden/>
              </w:rPr>
              <w:fldChar w:fldCharType="begin"/>
            </w:r>
            <w:r>
              <w:rPr>
                <w:noProof/>
                <w:webHidden/>
              </w:rPr>
              <w:instrText xml:space="preserve"> PAGEREF _Toc242102370 \h </w:instrText>
            </w:r>
            <w:r>
              <w:rPr>
                <w:noProof/>
                <w:webHidden/>
              </w:rPr>
            </w:r>
            <w:r>
              <w:rPr>
                <w:noProof/>
                <w:webHidden/>
              </w:rPr>
              <w:fldChar w:fldCharType="separate"/>
            </w:r>
            <w:r>
              <w:rPr>
                <w:noProof/>
                <w:webHidden/>
              </w:rPr>
              <w:t>14</w:t>
            </w:r>
            <w:r>
              <w:rPr>
                <w:noProof/>
                <w:webHidden/>
              </w:rPr>
              <w:fldChar w:fldCharType="end"/>
            </w:r>
          </w:hyperlink>
        </w:p>
        <w:p w14:paraId="7168D29A" w14:textId="4187EB4B" w:rsidR="00182703" w:rsidRDefault="00182703">
          <w:pPr>
            <w:pStyle w:val="Verzeichnis1"/>
            <w:tabs>
              <w:tab w:val="left" w:pos="4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1" w:history="1">
            <w:r w:rsidRPr="00AC1FE4">
              <w:rPr>
                <w:rStyle w:val="Hyperlink"/>
                <w:noProof/>
              </w:rPr>
              <w:t>9.</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Ansprechpartner</w:t>
            </w:r>
            <w:r>
              <w:rPr>
                <w:noProof/>
                <w:webHidden/>
              </w:rPr>
              <w:tab/>
            </w:r>
            <w:r>
              <w:rPr>
                <w:noProof/>
                <w:webHidden/>
              </w:rPr>
              <w:fldChar w:fldCharType="begin"/>
            </w:r>
            <w:r>
              <w:rPr>
                <w:noProof/>
                <w:webHidden/>
              </w:rPr>
              <w:instrText xml:space="preserve"> PAGEREF _Toc242102371 \h </w:instrText>
            </w:r>
            <w:r>
              <w:rPr>
                <w:noProof/>
                <w:webHidden/>
              </w:rPr>
            </w:r>
            <w:r>
              <w:rPr>
                <w:noProof/>
                <w:webHidden/>
              </w:rPr>
              <w:fldChar w:fldCharType="separate"/>
            </w:r>
            <w:r>
              <w:rPr>
                <w:noProof/>
                <w:webHidden/>
              </w:rPr>
              <w:t>14</w:t>
            </w:r>
            <w:r>
              <w:rPr>
                <w:noProof/>
                <w:webHidden/>
              </w:rPr>
              <w:fldChar w:fldCharType="end"/>
            </w:r>
          </w:hyperlink>
        </w:p>
        <w:p w14:paraId="5D644DBD" w14:textId="254BF45E"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2" w:history="1">
            <w:r w:rsidRPr="00AC1FE4">
              <w:rPr>
                <w:rStyle w:val="Hyperlink"/>
                <w:rFonts w:cs="Arial"/>
                <w:noProof/>
              </w:rPr>
              <w:t>10.</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 xml:space="preserve">Qualitätsmanagement, </w:t>
            </w:r>
            <w:r w:rsidRPr="00AC1FE4">
              <w:rPr>
                <w:rStyle w:val="Hyperlink"/>
                <w:rFonts w:cs="Arial"/>
                <w:noProof/>
              </w:rPr>
              <w:t>Informationssicherheit, CRA und KRITIS</w:t>
            </w:r>
            <w:r>
              <w:rPr>
                <w:noProof/>
                <w:webHidden/>
              </w:rPr>
              <w:tab/>
            </w:r>
            <w:r>
              <w:rPr>
                <w:noProof/>
                <w:webHidden/>
              </w:rPr>
              <w:fldChar w:fldCharType="begin"/>
            </w:r>
            <w:r>
              <w:rPr>
                <w:noProof/>
                <w:webHidden/>
              </w:rPr>
              <w:instrText xml:space="preserve"> PAGEREF _Toc242102372 \h </w:instrText>
            </w:r>
            <w:r>
              <w:rPr>
                <w:noProof/>
                <w:webHidden/>
              </w:rPr>
            </w:r>
            <w:r>
              <w:rPr>
                <w:noProof/>
                <w:webHidden/>
              </w:rPr>
              <w:fldChar w:fldCharType="separate"/>
            </w:r>
            <w:r>
              <w:rPr>
                <w:noProof/>
                <w:webHidden/>
              </w:rPr>
              <w:t>15</w:t>
            </w:r>
            <w:r>
              <w:rPr>
                <w:noProof/>
                <w:webHidden/>
              </w:rPr>
              <w:fldChar w:fldCharType="end"/>
            </w:r>
          </w:hyperlink>
        </w:p>
        <w:p w14:paraId="6C0725CC" w14:textId="5864E34D"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3" w:history="1">
            <w:r w:rsidRPr="00AC1FE4">
              <w:rPr>
                <w:rStyle w:val="Hyperlink"/>
                <w:noProof/>
              </w:rPr>
              <w:t>11.</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Vergütung</w:t>
            </w:r>
            <w:r>
              <w:rPr>
                <w:noProof/>
                <w:webHidden/>
              </w:rPr>
              <w:tab/>
            </w:r>
            <w:r>
              <w:rPr>
                <w:noProof/>
                <w:webHidden/>
              </w:rPr>
              <w:fldChar w:fldCharType="begin"/>
            </w:r>
            <w:r>
              <w:rPr>
                <w:noProof/>
                <w:webHidden/>
              </w:rPr>
              <w:instrText xml:space="preserve"> PAGEREF _Toc242102373 \h </w:instrText>
            </w:r>
            <w:r>
              <w:rPr>
                <w:noProof/>
                <w:webHidden/>
              </w:rPr>
            </w:r>
            <w:r>
              <w:rPr>
                <w:noProof/>
                <w:webHidden/>
              </w:rPr>
              <w:fldChar w:fldCharType="separate"/>
            </w:r>
            <w:r>
              <w:rPr>
                <w:noProof/>
                <w:webHidden/>
              </w:rPr>
              <w:t>16</w:t>
            </w:r>
            <w:r>
              <w:rPr>
                <w:noProof/>
                <w:webHidden/>
              </w:rPr>
              <w:fldChar w:fldCharType="end"/>
            </w:r>
          </w:hyperlink>
        </w:p>
        <w:p w14:paraId="6941F0A7" w14:textId="527E641D"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4" w:history="1">
            <w:r w:rsidRPr="00AC1FE4">
              <w:rPr>
                <w:rStyle w:val="Hyperlink"/>
                <w:noProof/>
              </w:rPr>
              <w:t>12.</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Zahlungsbedingungen</w:t>
            </w:r>
            <w:r>
              <w:rPr>
                <w:noProof/>
                <w:webHidden/>
              </w:rPr>
              <w:tab/>
            </w:r>
            <w:r>
              <w:rPr>
                <w:noProof/>
                <w:webHidden/>
              </w:rPr>
              <w:fldChar w:fldCharType="begin"/>
            </w:r>
            <w:r>
              <w:rPr>
                <w:noProof/>
                <w:webHidden/>
              </w:rPr>
              <w:instrText xml:space="preserve"> PAGEREF _Toc242102374 \h </w:instrText>
            </w:r>
            <w:r>
              <w:rPr>
                <w:noProof/>
                <w:webHidden/>
              </w:rPr>
            </w:r>
            <w:r>
              <w:rPr>
                <w:noProof/>
                <w:webHidden/>
              </w:rPr>
              <w:fldChar w:fldCharType="separate"/>
            </w:r>
            <w:r>
              <w:rPr>
                <w:noProof/>
                <w:webHidden/>
              </w:rPr>
              <w:t>18</w:t>
            </w:r>
            <w:r>
              <w:rPr>
                <w:noProof/>
                <w:webHidden/>
              </w:rPr>
              <w:fldChar w:fldCharType="end"/>
            </w:r>
          </w:hyperlink>
        </w:p>
        <w:p w14:paraId="21BA2617" w14:textId="2D66F31A"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5" w:history="1">
            <w:r w:rsidRPr="00AC1FE4">
              <w:rPr>
                <w:rStyle w:val="Hyperlink"/>
                <w:noProof/>
              </w:rPr>
              <w:t>13.</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Rechteeinräumung (Eigentumsrechte an dem Vertragsgegenstand)</w:t>
            </w:r>
            <w:r>
              <w:rPr>
                <w:noProof/>
                <w:webHidden/>
              </w:rPr>
              <w:tab/>
            </w:r>
            <w:r>
              <w:rPr>
                <w:noProof/>
                <w:webHidden/>
              </w:rPr>
              <w:fldChar w:fldCharType="begin"/>
            </w:r>
            <w:r>
              <w:rPr>
                <w:noProof/>
                <w:webHidden/>
              </w:rPr>
              <w:instrText xml:space="preserve"> PAGEREF _Toc242102375 \h </w:instrText>
            </w:r>
            <w:r>
              <w:rPr>
                <w:noProof/>
                <w:webHidden/>
              </w:rPr>
            </w:r>
            <w:r>
              <w:rPr>
                <w:noProof/>
                <w:webHidden/>
              </w:rPr>
              <w:fldChar w:fldCharType="separate"/>
            </w:r>
            <w:r>
              <w:rPr>
                <w:noProof/>
                <w:webHidden/>
              </w:rPr>
              <w:t>19</w:t>
            </w:r>
            <w:r>
              <w:rPr>
                <w:noProof/>
                <w:webHidden/>
              </w:rPr>
              <w:fldChar w:fldCharType="end"/>
            </w:r>
          </w:hyperlink>
        </w:p>
        <w:p w14:paraId="7D53F7A6" w14:textId="5F41C185"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6" w:history="1">
            <w:r w:rsidRPr="00AC1FE4">
              <w:rPr>
                <w:rStyle w:val="Hyperlink"/>
                <w:rFonts w:cs="Arial"/>
                <w:noProof/>
              </w:rPr>
              <w:t>14.</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Verfügbarkeit und Vertragsstrafe</w:t>
            </w:r>
            <w:r>
              <w:rPr>
                <w:noProof/>
                <w:webHidden/>
              </w:rPr>
              <w:tab/>
            </w:r>
            <w:r>
              <w:rPr>
                <w:noProof/>
                <w:webHidden/>
              </w:rPr>
              <w:fldChar w:fldCharType="begin"/>
            </w:r>
            <w:r>
              <w:rPr>
                <w:noProof/>
                <w:webHidden/>
              </w:rPr>
              <w:instrText xml:space="preserve"> PAGEREF _Toc242102376 \h </w:instrText>
            </w:r>
            <w:r>
              <w:rPr>
                <w:noProof/>
                <w:webHidden/>
              </w:rPr>
            </w:r>
            <w:r>
              <w:rPr>
                <w:noProof/>
                <w:webHidden/>
              </w:rPr>
              <w:fldChar w:fldCharType="separate"/>
            </w:r>
            <w:r>
              <w:rPr>
                <w:noProof/>
                <w:webHidden/>
              </w:rPr>
              <w:t>20</w:t>
            </w:r>
            <w:r>
              <w:rPr>
                <w:noProof/>
                <w:webHidden/>
              </w:rPr>
              <w:fldChar w:fldCharType="end"/>
            </w:r>
          </w:hyperlink>
        </w:p>
        <w:p w14:paraId="19509D75" w14:textId="2AFC67DB"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7" w:history="1">
            <w:r w:rsidRPr="00AC1FE4">
              <w:rPr>
                <w:rStyle w:val="Hyperlink"/>
                <w:noProof/>
              </w:rPr>
              <w:t>15.</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Abnahme und Freigaberegelung</w:t>
            </w:r>
            <w:r>
              <w:rPr>
                <w:noProof/>
                <w:webHidden/>
              </w:rPr>
              <w:tab/>
            </w:r>
            <w:r>
              <w:rPr>
                <w:noProof/>
                <w:webHidden/>
              </w:rPr>
              <w:fldChar w:fldCharType="begin"/>
            </w:r>
            <w:r>
              <w:rPr>
                <w:noProof/>
                <w:webHidden/>
              </w:rPr>
              <w:instrText xml:space="preserve"> PAGEREF _Toc242102377 \h </w:instrText>
            </w:r>
            <w:r>
              <w:rPr>
                <w:noProof/>
                <w:webHidden/>
              </w:rPr>
            </w:r>
            <w:r>
              <w:rPr>
                <w:noProof/>
                <w:webHidden/>
              </w:rPr>
              <w:fldChar w:fldCharType="separate"/>
            </w:r>
            <w:r>
              <w:rPr>
                <w:noProof/>
                <w:webHidden/>
              </w:rPr>
              <w:t>21</w:t>
            </w:r>
            <w:r>
              <w:rPr>
                <w:noProof/>
                <w:webHidden/>
              </w:rPr>
              <w:fldChar w:fldCharType="end"/>
            </w:r>
          </w:hyperlink>
        </w:p>
        <w:p w14:paraId="44B5589C" w14:textId="32F11CDE"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8" w:history="1">
            <w:r w:rsidRPr="00AC1FE4">
              <w:rPr>
                <w:rStyle w:val="Hyperlink"/>
                <w:noProof/>
              </w:rPr>
              <w:t>16.</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Haftung und Gefahrenübergang des Auftragnehmers</w:t>
            </w:r>
            <w:r>
              <w:rPr>
                <w:noProof/>
                <w:webHidden/>
              </w:rPr>
              <w:tab/>
            </w:r>
            <w:r>
              <w:rPr>
                <w:noProof/>
                <w:webHidden/>
              </w:rPr>
              <w:fldChar w:fldCharType="begin"/>
            </w:r>
            <w:r>
              <w:rPr>
                <w:noProof/>
                <w:webHidden/>
              </w:rPr>
              <w:instrText xml:space="preserve"> PAGEREF _Toc242102378 \h </w:instrText>
            </w:r>
            <w:r>
              <w:rPr>
                <w:noProof/>
                <w:webHidden/>
              </w:rPr>
            </w:r>
            <w:r>
              <w:rPr>
                <w:noProof/>
                <w:webHidden/>
              </w:rPr>
              <w:fldChar w:fldCharType="separate"/>
            </w:r>
            <w:r>
              <w:rPr>
                <w:noProof/>
                <w:webHidden/>
              </w:rPr>
              <w:t>25</w:t>
            </w:r>
            <w:r>
              <w:rPr>
                <w:noProof/>
                <w:webHidden/>
              </w:rPr>
              <w:fldChar w:fldCharType="end"/>
            </w:r>
          </w:hyperlink>
        </w:p>
        <w:p w14:paraId="7C1540F8" w14:textId="3502551B"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79" w:history="1">
            <w:r w:rsidRPr="00AC1FE4">
              <w:rPr>
                <w:rStyle w:val="Hyperlink"/>
                <w:noProof/>
              </w:rPr>
              <w:t>17.</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Gewährleistung/Mängelhaftung</w:t>
            </w:r>
            <w:r>
              <w:rPr>
                <w:noProof/>
                <w:webHidden/>
              </w:rPr>
              <w:tab/>
            </w:r>
            <w:r>
              <w:rPr>
                <w:noProof/>
                <w:webHidden/>
              </w:rPr>
              <w:fldChar w:fldCharType="begin"/>
            </w:r>
            <w:r>
              <w:rPr>
                <w:noProof/>
                <w:webHidden/>
              </w:rPr>
              <w:instrText xml:space="preserve"> PAGEREF _Toc242102379 \h </w:instrText>
            </w:r>
            <w:r>
              <w:rPr>
                <w:noProof/>
                <w:webHidden/>
              </w:rPr>
            </w:r>
            <w:r>
              <w:rPr>
                <w:noProof/>
                <w:webHidden/>
              </w:rPr>
              <w:fldChar w:fldCharType="separate"/>
            </w:r>
            <w:r>
              <w:rPr>
                <w:noProof/>
                <w:webHidden/>
              </w:rPr>
              <w:t>26</w:t>
            </w:r>
            <w:r>
              <w:rPr>
                <w:noProof/>
                <w:webHidden/>
              </w:rPr>
              <w:fldChar w:fldCharType="end"/>
            </w:r>
          </w:hyperlink>
        </w:p>
        <w:p w14:paraId="566A644D" w14:textId="32643C6E"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0" w:history="1">
            <w:r w:rsidRPr="00AC1FE4">
              <w:rPr>
                <w:rStyle w:val="Hyperlink"/>
                <w:rFonts w:cs="Arial"/>
                <w:noProof/>
              </w:rPr>
              <w:t>18.</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Mitwirkungsobliegenheiten des Auftraggebers</w:t>
            </w:r>
            <w:r>
              <w:rPr>
                <w:noProof/>
                <w:webHidden/>
              </w:rPr>
              <w:tab/>
            </w:r>
            <w:r>
              <w:rPr>
                <w:noProof/>
                <w:webHidden/>
              </w:rPr>
              <w:fldChar w:fldCharType="begin"/>
            </w:r>
            <w:r>
              <w:rPr>
                <w:noProof/>
                <w:webHidden/>
              </w:rPr>
              <w:instrText xml:space="preserve"> PAGEREF _Toc242102380 \h </w:instrText>
            </w:r>
            <w:r>
              <w:rPr>
                <w:noProof/>
                <w:webHidden/>
              </w:rPr>
            </w:r>
            <w:r>
              <w:rPr>
                <w:noProof/>
                <w:webHidden/>
              </w:rPr>
              <w:fldChar w:fldCharType="separate"/>
            </w:r>
            <w:r>
              <w:rPr>
                <w:noProof/>
                <w:webHidden/>
              </w:rPr>
              <w:t>28</w:t>
            </w:r>
            <w:r>
              <w:rPr>
                <w:noProof/>
                <w:webHidden/>
              </w:rPr>
              <w:fldChar w:fldCharType="end"/>
            </w:r>
          </w:hyperlink>
        </w:p>
        <w:p w14:paraId="4A96C1B4" w14:textId="2242E03C"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1" w:history="1">
            <w:r w:rsidRPr="00AC1FE4">
              <w:rPr>
                <w:rStyle w:val="Hyperlink"/>
                <w:noProof/>
              </w:rPr>
              <w:t>19.</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Änderungen der Leistung durch den Auftragnehmer</w:t>
            </w:r>
            <w:r>
              <w:rPr>
                <w:noProof/>
                <w:webHidden/>
              </w:rPr>
              <w:tab/>
            </w:r>
            <w:r>
              <w:rPr>
                <w:noProof/>
                <w:webHidden/>
              </w:rPr>
              <w:fldChar w:fldCharType="begin"/>
            </w:r>
            <w:r>
              <w:rPr>
                <w:noProof/>
                <w:webHidden/>
              </w:rPr>
              <w:instrText xml:space="preserve"> PAGEREF _Toc242102381 \h </w:instrText>
            </w:r>
            <w:r>
              <w:rPr>
                <w:noProof/>
                <w:webHidden/>
              </w:rPr>
            </w:r>
            <w:r>
              <w:rPr>
                <w:noProof/>
                <w:webHidden/>
              </w:rPr>
              <w:fldChar w:fldCharType="separate"/>
            </w:r>
            <w:r>
              <w:rPr>
                <w:noProof/>
                <w:webHidden/>
              </w:rPr>
              <w:t>29</w:t>
            </w:r>
            <w:r>
              <w:rPr>
                <w:noProof/>
                <w:webHidden/>
              </w:rPr>
              <w:fldChar w:fldCharType="end"/>
            </w:r>
          </w:hyperlink>
        </w:p>
        <w:p w14:paraId="1491E72B" w14:textId="14E34545"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2" w:history="1">
            <w:r w:rsidRPr="00AC1FE4">
              <w:rPr>
                <w:rStyle w:val="Hyperlink"/>
                <w:noProof/>
              </w:rPr>
              <w:t>20.</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Änderungen der Leistung durch den Auftraggeber</w:t>
            </w:r>
            <w:r>
              <w:rPr>
                <w:noProof/>
                <w:webHidden/>
              </w:rPr>
              <w:tab/>
            </w:r>
            <w:r>
              <w:rPr>
                <w:noProof/>
                <w:webHidden/>
              </w:rPr>
              <w:fldChar w:fldCharType="begin"/>
            </w:r>
            <w:r>
              <w:rPr>
                <w:noProof/>
                <w:webHidden/>
              </w:rPr>
              <w:instrText xml:space="preserve"> PAGEREF _Toc242102382 \h </w:instrText>
            </w:r>
            <w:r>
              <w:rPr>
                <w:noProof/>
                <w:webHidden/>
              </w:rPr>
            </w:r>
            <w:r>
              <w:rPr>
                <w:noProof/>
                <w:webHidden/>
              </w:rPr>
              <w:fldChar w:fldCharType="separate"/>
            </w:r>
            <w:r>
              <w:rPr>
                <w:noProof/>
                <w:webHidden/>
              </w:rPr>
              <w:t>29</w:t>
            </w:r>
            <w:r>
              <w:rPr>
                <w:noProof/>
                <w:webHidden/>
              </w:rPr>
              <w:fldChar w:fldCharType="end"/>
            </w:r>
          </w:hyperlink>
        </w:p>
        <w:p w14:paraId="3C5E08C1" w14:textId="0BEDD7AF"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3" w:history="1">
            <w:r w:rsidRPr="00AC1FE4">
              <w:rPr>
                <w:rStyle w:val="Hyperlink"/>
                <w:rFonts w:cs="Arial"/>
                <w:noProof/>
              </w:rPr>
              <w:t>21.</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Vertragsbeginn und -beendigung</w:t>
            </w:r>
            <w:r>
              <w:rPr>
                <w:noProof/>
                <w:webHidden/>
              </w:rPr>
              <w:tab/>
            </w:r>
            <w:r>
              <w:rPr>
                <w:noProof/>
                <w:webHidden/>
              </w:rPr>
              <w:fldChar w:fldCharType="begin"/>
            </w:r>
            <w:r>
              <w:rPr>
                <w:noProof/>
                <w:webHidden/>
              </w:rPr>
              <w:instrText xml:space="preserve"> PAGEREF _Toc242102383 \h </w:instrText>
            </w:r>
            <w:r>
              <w:rPr>
                <w:noProof/>
                <w:webHidden/>
              </w:rPr>
            </w:r>
            <w:r>
              <w:rPr>
                <w:noProof/>
                <w:webHidden/>
              </w:rPr>
              <w:fldChar w:fldCharType="separate"/>
            </w:r>
            <w:r>
              <w:rPr>
                <w:noProof/>
                <w:webHidden/>
              </w:rPr>
              <w:t>30</w:t>
            </w:r>
            <w:r>
              <w:rPr>
                <w:noProof/>
                <w:webHidden/>
              </w:rPr>
              <w:fldChar w:fldCharType="end"/>
            </w:r>
          </w:hyperlink>
        </w:p>
        <w:p w14:paraId="7E82AD6D" w14:textId="20B98B4A"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4" w:history="1">
            <w:r w:rsidRPr="00AC1FE4">
              <w:rPr>
                <w:rStyle w:val="Hyperlink"/>
                <w:noProof/>
              </w:rPr>
              <w:t>22.</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Zurückbehaltungsrechte und Leistungsverweigerungsrechte des Auftragnehmers</w:t>
            </w:r>
            <w:r>
              <w:rPr>
                <w:noProof/>
                <w:webHidden/>
              </w:rPr>
              <w:tab/>
            </w:r>
            <w:r>
              <w:rPr>
                <w:noProof/>
                <w:webHidden/>
              </w:rPr>
              <w:fldChar w:fldCharType="begin"/>
            </w:r>
            <w:r>
              <w:rPr>
                <w:noProof/>
                <w:webHidden/>
              </w:rPr>
              <w:instrText xml:space="preserve"> PAGEREF _Toc242102384 \h </w:instrText>
            </w:r>
            <w:r>
              <w:rPr>
                <w:noProof/>
                <w:webHidden/>
              </w:rPr>
            </w:r>
            <w:r>
              <w:rPr>
                <w:noProof/>
                <w:webHidden/>
              </w:rPr>
              <w:fldChar w:fldCharType="separate"/>
            </w:r>
            <w:r>
              <w:rPr>
                <w:noProof/>
                <w:webHidden/>
              </w:rPr>
              <w:t>31</w:t>
            </w:r>
            <w:r>
              <w:rPr>
                <w:noProof/>
                <w:webHidden/>
              </w:rPr>
              <w:fldChar w:fldCharType="end"/>
            </w:r>
          </w:hyperlink>
        </w:p>
        <w:p w14:paraId="76441C37" w14:textId="5FD6BFC3"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5" w:history="1">
            <w:r w:rsidRPr="00AC1FE4">
              <w:rPr>
                <w:rStyle w:val="Hyperlink"/>
                <w:noProof/>
              </w:rPr>
              <w:t>23.</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Datenschutz</w:t>
            </w:r>
            <w:r>
              <w:rPr>
                <w:noProof/>
                <w:webHidden/>
              </w:rPr>
              <w:tab/>
            </w:r>
            <w:r>
              <w:rPr>
                <w:noProof/>
                <w:webHidden/>
              </w:rPr>
              <w:fldChar w:fldCharType="begin"/>
            </w:r>
            <w:r>
              <w:rPr>
                <w:noProof/>
                <w:webHidden/>
              </w:rPr>
              <w:instrText xml:space="preserve"> PAGEREF _Toc242102385 \h </w:instrText>
            </w:r>
            <w:r>
              <w:rPr>
                <w:noProof/>
                <w:webHidden/>
              </w:rPr>
            </w:r>
            <w:r>
              <w:rPr>
                <w:noProof/>
                <w:webHidden/>
              </w:rPr>
              <w:fldChar w:fldCharType="separate"/>
            </w:r>
            <w:r>
              <w:rPr>
                <w:noProof/>
                <w:webHidden/>
              </w:rPr>
              <w:t>32</w:t>
            </w:r>
            <w:r>
              <w:rPr>
                <w:noProof/>
                <w:webHidden/>
              </w:rPr>
              <w:fldChar w:fldCharType="end"/>
            </w:r>
          </w:hyperlink>
        </w:p>
        <w:p w14:paraId="2DFB604B" w14:textId="047DDD18"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6" w:history="1">
            <w:r w:rsidRPr="00AC1FE4">
              <w:rPr>
                <w:rStyle w:val="Hyperlink"/>
                <w:noProof/>
              </w:rPr>
              <w:t>24.</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Vertraulichkeit</w:t>
            </w:r>
            <w:r>
              <w:rPr>
                <w:noProof/>
                <w:webHidden/>
              </w:rPr>
              <w:tab/>
            </w:r>
            <w:r>
              <w:rPr>
                <w:noProof/>
                <w:webHidden/>
              </w:rPr>
              <w:fldChar w:fldCharType="begin"/>
            </w:r>
            <w:r>
              <w:rPr>
                <w:noProof/>
                <w:webHidden/>
              </w:rPr>
              <w:instrText xml:space="preserve"> PAGEREF _Toc242102386 \h </w:instrText>
            </w:r>
            <w:r>
              <w:rPr>
                <w:noProof/>
                <w:webHidden/>
              </w:rPr>
            </w:r>
            <w:r>
              <w:rPr>
                <w:noProof/>
                <w:webHidden/>
              </w:rPr>
              <w:fldChar w:fldCharType="separate"/>
            </w:r>
            <w:r>
              <w:rPr>
                <w:noProof/>
                <w:webHidden/>
              </w:rPr>
              <w:t>32</w:t>
            </w:r>
            <w:r>
              <w:rPr>
                <w:noProof/>
                <w:webHidden/>
              </w:rPr>
              <w:fldChar w:fldCharType="end"/>
            </w:r>
          </w:hyperlink>
        </w:p>
        <w:p w14:paraId="1FA9EFE5" w14:textId="2F71C5CA"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7" w:history="1">
            <w:r w:rsidRPr="00AC1FE4">
              <w:rPr>
                <w:rStyle w:val="Hyperlink"/>
                <w:noProof/>
              </w:rPr>
              <w:t>25.</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Höhere Gewalt</w:t>
            </w:r>
            <w:r>
              <w:rPr>
                <w:noProof/>
                <w:webHidden/>
              </w:rPr>
              <w:tab/>
            </w:r>
            <w:r>
              <w:rPr>
                <w:noProof/>
                <w:webHidden/>
              </w:rPr>
              <w:fldChar w:fldCharType="begin"/>
            </w:r>
            <w:r>
              <w:rPr>
                <w:noProof/>
                <w:webHidden/>
              </w:rPr>
              <w:instrText xml:space="preserve"> PAGEREF _Toc242102387 \h </w:instrText>
            </w:r>
            <w:r>
              <w:rPr>
                <w:noProof/>
                <w:webHidden/>
              </w:rPr>
            </w:r>
            <w:r>
              <w:rPr>
                <w:noProof/>
                <w:webHidden/>
              </w:rPr>
              <w:fldChar w:fldCharType="separate"/>
            </w:r>
            <w:r>
              <w:rPr>
                <w:noProof/>
                <w:webHidden/>
              </w:rPr>
              <w:t>33</w:t>
            </w:r>
            <w:r>
              <w:rPr>
                <w:noProof/>
                <w:webHidden/>
              </w:rPr>
              <w:fldChar w:fldCharType="end"/>
            </w:r>
          </w:hyperlink>
        </w:p>
        <w:p w14:paraId="5564E514" w14:textId="169D74BB"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8" w:history="1">
            <w:r w:rsidRPr="00AC1FE4">
              <w:rPr>
                <w:rStyle w:val="Hyperlink"/>
                <w:noProof/>
              </w:rPr>
              <w:t>26.</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Versicherung</w:t>
            </w:r>
            <w:r>
              <w:rPr>
                <w:noProof/>
                <w:webHidden/>
              </w:rPr>
              <w:tab/>
            </w:r>
            <w:r>
              <w:rPr>
                <w:noProof/>
                <w:webHidden/>
              </w:rPr>
              <w:fldChar w:fldCharType="begin"/>
            </w:r>
            <w:r>
              <w:rPr>
                <w:noProof/>
                <w:webHidden/>
              </w:rPr>
              <w:instrText xml:space="preserve"> PAGEREF _Toc242102388 \h </w:instrText>
            </w:r>
            <w:r>
              <w:rPr>
                <w:noProof/>
                <w:webHidden/>
              </w:rPr>
            </w:r>
            <w:r>
              <w:rPr>
                <w:noProof/>
                <w:webHidden/>
              </w:rPr>
              <w:fldChar w:fldCharType="separate"/>
            </w:r>
            <w:r>
              <w:rPr>
                <w:noProof/>
                <w:webHidden/>
              </w:rPr>
              <w:t>33</w:t>
            </w:r>
            <w:r>
              <w:rPr>
                <w:noProof/>
                <w:webHidden/>
              </w:rPr>
              <w:fldChar w:fldCharType="end"/>
            </w:r>
          </w:hyperlink>
        </w:p>
        <w:p w14:paraId="1AB515A5" w14:textId="13877574"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89" w:history="1">
            <w:r w:rsidRPr="00AC1FE4">
              <w:rPr>
                <w:rStyle w:val="Hyperlink"/>
                <w:noProof/>
              </w:rPr>
              <w:t>27.</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Sicherheiten</w:t>
            </w:r>
            <w:r>
              <w:rPr>
                <w:noProof/>
                <w:webHidden/>
              </w:rPr>
              <w:tab/>
            </w:r>
            <w:r>
              <w:rPr>
                <w:noProof/>
                <w:webHidden/>
              </w:rPr>
              <w:fldChar w:fldCharType="begin"/>
            </w:r>
            <w:r>
              <w:rPr>
                <w:noProof/>
                <w:webHidden/>
              </w:rPr>
              <w:instrText xml:space="preserve"> PAGEREF _Toc242102389 \h </w:instrText>
            </w:r>
            <w:r>
              <w:rPr>
                <w:noProof/>
                <w:webHidden/>
              </w:rPr>
            </w:r>
            <w:r>
              <w:rPr>
                <w:noProof/>
                <w:webHidden/>
              </w:rPr>
              <w:fldChar w:fldCharType="separate"/>
            </w:r>
            <w:r>
              <w:rPr>
                <w:noProof/>
                <w:webHidden/>
              </w:rPr>
              <w:t>34</w:t>
            </w:r>
            <w:r>
              <w:rPr>
                <w:noProof/>
                <w:webHidden/>
              </w:rPr>
              <w:fldChar w:fldCharType="end"/>
            </w:r>
          </w:hyperlink>
        </w:p>
        <w:p w14:paraId="300C2B91" w14:textId="0F7E6AF8"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90" w:history="1">
            <w:r w:rsidRPr="00AC1FE4">
              <w:rPr>
                <w:rStyle w:val="Hyperlink"/>
                <w:noProof/>
              </w:rPr>
              <w:t>28.</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Compliance</w:t>
            </w:r>
            <w:r>
              <w:rPr>
                <w:noProof/>
                <w:webHidden/>
              </w:rPr>
              <w:tab/>
            </w:r>
            <w:r>
              <w:rPr>
                <w:noProof/>
                <w:webHidden/>
              </w:rPr>
              <w:fldChar w:fldCharType="begin"/>
            </w:r>
            <w:r>
              <w:rPr>
                <w:noProof/>
                <w:webHidden/>
              </w:rPr>
              <w:instrText xml:space="preserve"> PAGEREF _Toc242102390 \h </w:instrText>
            </w:r>
            <w:r>
              <w:rPr>
                <w:noProof/>
                <w:webHidden/>
              </w:rPr>
            </w:r>
            <w:r>
              <w:rPr>
                <w:noProof/>
                <w:webHidden/>
              </w:rPr>
              <w:fldChar w:fldCharType="separate"/>
            </w:r>
            <w:r>
              <w:rPr>
                <w:noProof/>
                <w:webHidden/>
              </w:rPr>
              <w:t>35</w:t>
            </w:r>
            <w:r>
              <w:rPr>
                <w:noProof/>
                <w:webHidden/>
              </w:rPr>
              <w:fldChar w:fldCharType="end"/>
            </w:r>
          </w:hyperlink>
        </w:p>
        <w:p w14:paraId="5DF01E3C" w14:textId="77467912"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91" w:history="1">
            <w:r w:rsidRPr="00AC1FE4">
              <w:rPr>
                <w:rStyle w:val="Hyperlink"/>
                <w:noProof/>
              </w:rPr>
              <w:t>29.</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Veröffentlichung, Nutzung als Referenz</w:t>
            </w:r>
            <w:r>
              <w:rPr>
                <w:noProof/>
                <w:webHidden/>
              </w:rPr>
              <w:tab/>
            </w:r>
            <w:r>
              <w:rPr>
                <w:noProof/>
                <w:webHidden/>
              </w:rPr>
              <w:fldChar w:fldCharType="begin"/>
            </w:r>
            <w:r>
              <w:rPr>
                <w:noProof/>
                <w:webHidden/>
              </w:rPr>
              <w:instrText xml:space="preserve"> PAGEREF _Toc242102391 \h </w:instrText>
            </w:r>
            <w:r>
              <w:rPr>
                <w:noProof/>
                <w:webHidden/>
              </w:rPr>
            </w:r>
            <w:r>
              <w:rPr>
                <w:noProof/>
                <w:webHidden/>
              </w:rPr>
              <w:fldChar w:fldCharType="separate"/>
            </w:r>
            <w:r>
              <w:rPr>
                <w:noProof/>
                <w:webHidden/>
              </w:rPr>
              <w:t>35</w:t>
            </w:r>
            <w:r>
              <w:rPr>
                <w:noProof/>
                <w:webHidden/>
              </w:rPr>
              <w:fldChar w:fldCharType="end"/>
            </w:r>
          </w:hyperlink>
        </w:p>
        <w:p w14:paraId="5FC4C55A" w14:textId="37B10441"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92" w:history="1">
            <w:r w:rsidRPr="00AC1FE4">
              <w:rPr>
                <w:rStyle w:val="Hyperlink"/>
                <w:noProof/>
              </w:rPr>
              <w:t>30.</w:t>
            </w:r>
            <w:r>
              <w:rPr>
                <w:rFonts w:asciiTheme="minorHAnsi" w:eastAsiaTheme="minorEastAsia" w:hAnsiTheme="minorHAnsi"/>
                <w:noProof/>
                <w:kern w:val="2"/>
                <w:sz w:val="24"/>
                <w:szCs w:val="24"/>
                <w:lang w:val="de-DE" w:eastAsia="de-DE"/>
                <w14:ligatures w14:val="standardContextual"/>
              </w:rPr>
              <w:tab/>
            </w:r>
            <w:r w:rsidRPr="00AC1FE4">
              <w:rPr>
                <w:rStyle w:val="Hyperlink"/>
                <w:noProof/>
              </w:rPr>
              <w:t>Schlussbestimmungen</w:t>
            </w:r>
            <w:r>
              <w:rPr>
                <w:noProof/>
                <w:webHidden/>
              </w:rPr>
              <w:tab/>
            </w:r>
            <w:r>
              <w:rPr>
                <w:noProof/>
                <w:webHidden/>
              </w:rPr>
              <w:fldChar w:fldCharType="begin"/>
            </w:r>
            <w:r>
              <w:rPr>
                <w:noProof/>
                <w:webHidden/>
              </w:rPr>
              <w:instrText xml:space="preserve"> PAGEREF _Toc242102392 \h </w:instrText>
            </w:r>
            <w:r>
              <w:rPr>
                <w:noProof/>
                <w:webHidden/>
              </w:rPr>
            </w:r>
            <w:r>
              <w:rPr>
                <w:noProof/>
                <w:webHidden/>
              </w:rPr>
              <w:fldChar w:fldCharType="separate"/>
            </w:r>
            <w:r>
              <w:rPr>
                <w:noProof/>
                <w:webHidden/>
              </w:rPr>
              <w:t>36</w:t>
            </w:r>
            <w:r>
              <w:rPr>
                <w:noProof/>
                <w:webHidden/>
              </w:rPr>
              <w:fldChar w:fldCharType="end"/>
            </w:r>
          </w:hyperlink>
        </w:p>
        <w:p w14:paraId="1AD3FA92" w14:textId="33D5457E" w:rsidR="00182703" w:rsidRDefault="00182703">
          <w:pPr>
            <w:pStyle w:val="Verzeichnis1"/>
            <w:tabs>
              <w:tab w:val="left" w:pos="720"/>
              <w:tab w:val="right" w:leader="dot" w:pos="9565"/>
            </w:tabs>
            <w:rPr>
              <w:rFonts w:asciiTheme="minorHAnsi" w:eastAsiaTheme="minorEastAsia" w:hAnsiTheme="minorHAnsi"/>
              <w:noProof/>
              <w:kern w:val="2"/>
              <w:sz w:val="24"/>
              <w:szCs w:val="24"/>
              <w:lang w:val="de-DE" w:eastAsia="de-DE"/>
              <w14:ligatures w14:val="standardContextual"/>
            </w:rPr>
          </w:pPr>
          <w:hyperlink w:anchor="_Toc242102393" w:history="1">
            <w:r w:rsidRPr="00AC1FE4">
              <w:rPr>
                <w:rStyle w:val="Hyperlink"/>
                <w:rFonts w:cs="Arial"/>
                <w:noProof/>
              </w:rPr>
              <w:t>31.</w:t>
            </w:r>
            <w:r>
              <w:rPr>
                <w:rFonts w:asciiTheme="minorHAnsi" w:eastAsiaTheme="minorEastAsia" w:hAnsiTheme="minorHAnsi"/>
                <w:noProof/>
                <w:kern w:val="2"/>
                <w:sz w:val="24"/>
                <w:szCs w:val="24"/>
                <w:lang w:val="de-DE" w:eastAsia="de-DE"/>
                <w14:ligatures w14:val="standardContextual"/>
              </w:rPr>
              <w:tab/>
            </w:r>
            <w:r w:rsidRPr="00AC1FE4">
              <w:rPr>
                <w:rStyle w:val="Hyperlink"/>
                <w:rFonts w:cs="Arial"/>
                <w:noProof/>
              </w:rPr>
              <w:t>Anlagen</w:t>
            </w:r>
            <w:r>
              <w:rPr>
                <w:noProof/>
                <w:webHidden/>
              </w:rPr>
              <w:tab/>
            </w:r>
            <w:r>
              <w:rPr>
                <w:noProof/>
                <w:webHidden/>
              </w:rPr>
              <w:fldChar w:fldCharType="begin"/>
            </w:r>
            <w:r>
              <w:rPr>
                <w:noProof/>
                <w:webHidden/>
              </w:rPr>
              <w:instrText xml:space="preserve"> PAGEREF _Toc242102393 \h </w:instrText>
            </w:r>
            <w:r>
              <w:rPr>
                <w:noProof/>
                <w:webHidden/>
              </w:rPr>
            </w:r>
            <w:r>
              <w:rPr>
                <w:noProof/>
                <w:webHidden/>
              </w:rPr>
              <w:fldChar w:fldCharType="separate"/>
            </w:r>
            <w:r>
              <w:rPr>
                <w:noProof/>
                <w:webHidden/>
              </w:rPr>
              <w:t>37</w:t>
            </w:r>
            <w:r>
              <w:rPr>
                <w:noProof/>
                <w:webHidden/>
              </w:rPr>
              <w:fldChar w:fldCharType="end"/>
            </w:r>
          </w:hyperlink>
        </w:p>
        <w:p w14:paraId="314D84BF" w14:textId="51406398" w:rsidR="00B90D81" w:rsidRPr="00B90D81" w:rsidRDefault="00B90D81" w:rsidP="001A4152">
          <w:pPr>
            <w:keepNext/>
            <w:tabs>
              <w:tab w:val="left" w:pos="567"/>
              <w:tab w:val="right" w:leader="dot" w:pos="9629"/>
            </w:tabs>
            <w:spacing w:line="240" w:lineRule="auto"/>
            <w:rPr>
              <w:rFonts w:eastAsia="Times New Roman" w:cs="Times New Roman"/>
              <w:b/>
              <w:sz w:val="22"/>
              <w:lang w:val="de-DE"/>
            </w:rPr>
          </w:pPr>
          <w:r>
            <w:rPr>
              <w:rFonts w:eastAsia="Times New Roman" w:cs="Times New Roman"/>
              <w:sz w:val="20"/>
              <w:szCs w:val="20"/>
              <w:lang w:val="de-DE"/>
            </w:rPr>
            <w:fldChar w:fldCharType="end"/>
          </w:r>
        </w:p>
      </w:sdtContent>
    </w:sdt>
    <w:p w14:paraId="364A7643" w14:textId="700123C9" w:rsidR="002D021F" w:rsidRPr="00D12263" w:rsidRDefault="00182BBF">
      <w:pPr>
        <w:pStyle w:val="berschrift1"/>
        <w:rPr>
          <w:rFonts w:ascii="Arial" w:hAnsi="Arial" w:cs="Arial"/>
          <w:sz w:val="22"/>
          <w:szCs w:val="22"/>
          <w:lang w:val="de-DE"/>
        </w:rPr>
      </w:pPr>
      <w:r>
        <w:rPr>
          <w:rFonts w:cs="Arial"/>
          <w:sz w:val="22"/>
          <w:lang w:val="de-DE"/>
        </w:rPr>
        <w:br w:type="page"/>
      </w:r>
      <w:bookmarkStart w:id="0" w:name="_Toc242102362"/>
      <w:r>
        <w:rPr>
          <w:rFonts w:ascii="Arial" w:eastAsia="Arial" w:hAnsi="Arial" w:cs="Arial"/>
          <w:sz w:val="22"/>
          <w:szCs w:val="22"/>
          <w:lang w:val="de-DE"/>
        </w:rPr>
        <w:lastRenderedPageBreak/>
        <w:t>Präambel</w:t>
      </w:r>
      <w:bookmarkEnd w:id="0"/>
    </w:p>
    <w:p w14:paraId="7DF0CB2F" w14:textId="4845A93E" w:rsidR="00182BBF" w:rsidRPr="00182BBF" w:rsidRDefault="00182BBF" w:rsidP="00EF75B2">
      <w:pPr>
        <w:pStyle w:val="Listenabsatz"/>
        <w:numPr>
          <w:ilvl w:val="0"/>
          <w:numId w:val="25"/>
        </w:numPr>
        <w:ind w:left="284" w:hanging="284"/>
        <w:jc w:val="both"/>
        <w:rPr>
          <w:rFonts w:cs="Arial"/>
          <w:sz w:val="22"/>
          <w:lang w:val="de-DE"/>
        </w:rPr>
      </w:pPr>
      <w:r>
        <w:rPr>
          <w:rFonts w:cs="Arial"/>
          <w:sz w:val="22"/>
          <w:lang w:val="de-DE"/>
        </w:rPr>
        <w:t xml:space="preserve">Der AG ist ein kommunales Verkehrsunternehmen und erbringt in der Landeshauptstadt Dresden und Umgebung selbst und durch beauftragte Verkehrsunternehmen Leistungen des straßen- und schienengebundenen öffentlichen Personennahverkehrs (ÖPNV). </w:t>
      </w:r>
    </w:p>
    <w:p w14:paraId="2F43ECC8" w14:textId="603E815A" w:rsidR="00242B2D" w:rsidRDefault="00182BBF" w:rsidP="00242B2D">
      <w:pPr>
        <w:spacing w:after="0"/>
        <w:ind w:left="284"/>
        <w:jc w:val="both"/>
        <w:rPr>
          <w:rFonts w:cs="Arial"/>
          <w:sz w:val="22"/>
          <w:lang w:val="de-DE"/>
        </w:rPr>
      </w:pPr>
      <w:r>
        <w:rPr>
          <w:rFonts w:cs="Arial"/>
          <w:sz w:val="22"/>
          <w:lang w:val="de-DE"/>
        </w:rPr>
        <w:t xml:space="preserve">Die Dresdner Verkehrsbetriebe AG (DVB) ist das Verkehrsunternehmen der Stadt Dresden. Mit fast 12 Linien und einem Streckennetz von über 380 km befördert die DVB täglich über eine </w:t>
      </w:r>
      <w:r>
        <w:rPr>
          <w:rFonts w:cs="Arial"/>
          <w:sz w:val="22"/>
          <w:lang w:val="de-DE"/>
        </w:rPr>
        <w:t>halbe Million</w:t>
      </w:r>
      <w:r>
        <w:rPr>
          <w:rFonts w:cs="Arial"/>
          <w:sz w:val="22"/>
          <w:lang w:val="de-DE"/>
        </w:rPr>
        <w:t xml:space="preserve"> Menschen in der Region im Öffentlichen Personennahverkehr (ÖPNV). Ein moderner Fahrzeugpark und circa 2.000 Mitarbeiter bieten den Dresdnern und Dresdnerinnen eine zuverlässige Dienstleistung. Um diese langfristig aufrechterhalten zu können, ist die regelmäßige </w:t>
      </w:r>
      <w:r>
        <w:rPr>
          <w:rFonts w:cs="Arial"/>
          <w:sz w:val="22"/>
          <w:lang w:val="de-DE"/>
        </w:rPr>
        <w:t>Reparatur und Modernisierung</w:t>
      </w:r>
      <w:r>
        <w:rPr>
          <w:rFonts w:cs="Arial"/>
          <w:sz w:val="22"/>
          <w:lang w:val="de-DE"/>
        </w:rPr>
        <w:t xml:space="preserve"> der bestehenden Systeme erforderlich. Der Ersatz der bestehenden Türsteuergeräte für insgesamt 83 Bestandsfahrzeuge bestehend aus den Typen NGT D8 DD und NGT D12 DD dient diesem Ziel. Ziel durch die Erneuerung der Geräte ist es insbesondere Fahrzeugausfälle zu minimieren, kurze Reaktions- und Lieferzeiten sicherzustellen sowie eine langfristige Ersatzteil- und Reparaturfähigkeit für die beim AG eingesetzten Systeme zu gewährleisten.</w:t>
      </w:r>
    </w:p>
    <w:p w14:paraId="6375E66E" w14:textId="77777777" w:rsidR="00242B2D" w:rsidRDefault="00242B2D" w:rsidP="00242B2D">
      <w:pPr>
        <w:spacing w:after="0"/>
        <w:ind w:left="284"/>
        <w:jc w:val="both"/>
        <w:rPr>
          <w:rFonts w:cs="Arial"/>
          <w:sz w:val="22"/>
          <w:lang w:val="de-DE"/>
        </w:rPr>
      </w:pPr>
    </w:p>
    <w:p w14:paraId="0C88F8DF" w14:textId="75C117C8" w:rsidR="00242B2D" w:rsidRDefault="00242B2D" w:rsidP="00242B2D">
      <w:pPr>
        <w:spacing w:after="0"/>
        <w:ind w:left="284"/>
        <w:jc w:val="both"/>
        <w:rPr>
          <w:rFonts w:cs="Arial"/>
          <w:sz w:val="22"/>
          <w:lang w:val="de-DE"/>
        </w:rPr>
      </w:pPr>
      <w:r>
        <w:rPr>
          <w:rFonts w:cs="Arial"/>
          <w:sz w:val="22"/>
          <w:lang w:val="de-DE"/>
        </w:rPr>
        <w:t>Der Auftragnehmer ist ein am Markt etabliertes und anerkanntes Unternehmen mit nachgewiesener Expertise für die Leistung. Dieser verfügt über die erforderliche fachliche, technische und organisatorische Leistungsfähigkeit sowie langjährige Erfahrung, die eine qualitativ hochwertige und wirtschaftliche Erbringung der vertraglichen Leistung gewährleisten soll.</w:t>
      </w:r>
    </w:p>
    <w:p w14:paraId="7033CFE4" w14:textId="77777777" w:rsidR="00242B2D" w:rsidRDefault="00242B2D" w:rsidP="00242B2D">
      <w:pPr>
        <w:spacing w:after="0"/>
        <w:ind w:left="284"/>
        <w:jc w:val="both"/>
        <w:rPr>
          <w:rFonts w:cs="Arial"/>
          <w:sz w:val="22"/>
          <w:lang w:val="de-DE"/>
        </w:rPr>
      </w:pPr>
    </w:p>
    <w:p w14:paraId="50467850" w14:textId="699D0063" w:rsidR="00242B2D" w:rsidRDefault="00242B2D" w:rsidP="00242B2D">
      <w:pPr>
        <w:pStyle w:val="Listenabsatz"/>
        <w:numPr>
          <w:ilvl w:val="0"/>
          <w:numId w:val="25"/>
        </w:numPr>
        <w:spacing w:after="0"/>
        <w:ind w:left="284" w:hanging="284"/>
        <w:jc w:val="both"/>
        <w:rPr>
          <w:rFonts w:cs="Arial"/>
          <w:sz w:val="22"/>
          <w:lang w:val="de-DE"/>
        </w:rPr>
      </w:pPr>
      <w:r>
        <w:rPr>
          <w:rFonts w:cs="Arial"/>
          <w:sz w:val="22"/>
          <w:lang w:val="de-DE"/>
        </w:rPr>
        <w:t xml:space="preserve">Das Vergabeverfahren wurde mit Zuschlag vom […] beendet. </w:t>
      </w:r>
    </w:p>
    <w:p w14:paraId="6EFF14B4" w14:textId="77777777" w:rsidR="00242B2D" w:rsidRPr="00242B2D" w:rsidRDefault="00242B2D" w:rsidP="00242B2D">
      <w:pPr>
        <w:pStyle w:val="Listenabsatz"/>
        <w:spacing w:after="0"/>
        <w:ind w:left="284"/>
        <w:jc w:val="both"/>
        <w:rPr>
          <w:rFonts w:cs="Arial"/>
          <w:sz w:val="22"/>
          <w:lang w:val="de-DE"/>
        </w:rPr>
      </w:pPr>
    </w:p>
    <w:p w14:paraId="4CA4537B" w14:textId="5E05CF77" w:rsidR="00242B2D" w:rsidRDefault="00242B2D" w:rsidP="00242B2D">
      <w:pPr>
        <w:pStyle w:val="Listenabsatz"/>
        <w:numPr>
          <w:ilvl w:val="0"/>
          <w:numId w:val="25"/>
        </w:numPr>
        <w:spacing w:after="0"/>
        <w:ind w:left="284" w:hanging="284"/>
        <w:jc w:val="both"/>
        <w:rPr>
          <w:rFonts w:cs="Arial"/>
          <w:sz w:val="22"/>
          <w:lang w:val="de-DE"/>
        </w:rPr>
      </w:pPr>
      <w:r>
        <w:rPr>
          <w:rFonts w:cs="Arial"/>
          <w:sz w:val="22"/>
          <w:lang w:val="de-DE"/>
        </w:rPr>
        <w:t>Die Parteien sind übereingekommen, die mit der Zuschlagserteilung vereinbarten Vertragsbedingungen in einem Vertrag zu regeln.</w:t>
      </w:r>
    </w:p>
    <w:p w14:paraId="2B66E602" w14:textId="77777777" w:rsidR="00242B2D" w:rsidRPr="00242B2D" w:rsidRDefault="00242B2D" w:rsidP="00242B2D">
      <w:pPr>
        <w:spacing w:after="0"/>
        <w:jc w:val="both"/>
        <w:rPr>
          <w:rFonts w:cs="Arial"/>
          <w:sz w:val="22"/>
          <w:lang w:val="de-DE"/>
        </w:rPr>
      </w:pPr>
    </w:p>
    <w:p w14:paraId="78F66E2F" w14:textId="11333FFA" w:rsidR="008E2F2F" w:rsidRDefault="00242B2D" w:rsidP="00242B2D">
      <w:pPr>
        <w:pStyle w:val="Listenabsatz"/>
        <w:numPr>
          <w:ilvl w:val="0"/>
          <w:numId w:val="25"/>
        </w:numPr>
        <w:spacing w:after="0"/>
        <w:ind w:left="284" w:hanging="284"/>
        <w:jc w:val="both"/>
        <w:rPr>
          <w:rFonts w:cs="Arial"/>
          <w:sz w:val="22"/>
          <w:lang w:val="de-DE"/>
        </w:rPr>
      </w:pPr>
      <w:r>
        <w:rPr>
          <w:rFonts w:cs="Arial"/>
          <w:sz w:val="22"/>
          <w:lang w:val="de-DE"/>
        </w:rPr>
        <w:t>Aus Gründen der Übersichtlichkeit wurde im Vertrag das generische Maskulinum gewählt. Dies bezieht sich jedoch auf sämtliche Geschlechteridentitäten.</w:t>
      </w:r>
    </w:p>
    <w:p w14:paraId="555DE7E6" w14:textId="77777777" w:rsidR="00C924DE" w:rsidRDefault="00C924DE" w:rsidP="001F3A07">
      <w:pPr>
        <w:spacing w:after="200" w:line="276" w:lineRule="auto"/>
        <w:rPr>
          <w:rFonts w:cs="Arial"/>
          <w:sz w:val="22"/>
          <w:lang w:val="de-DE"/>
        </w:rPr>
      </w:pPr>
    </w:p>
    <w:p w14:paraId="5E3370F6" w14:textId="40985991" w:rsidR="00C924DE" w:rsidRPr="00B22145" w:rsidRDefault="00C924DE" w:rsidP="00C924DE">
      <w:pPr>
        <w:spacing w:after="200" w:line="276" w:lineRule="auto"/>
        <w:rPr>
          <w:rFonts w:cs="Arial"/>
          <w:lang w:val="de-DE"/>
        </w:rPr>
      </w:pPr>
      <w:r>
        <w:rPr>
          <w:lang w:val="de-DE"/>
        </w:rPr>
        <w:t>Vor diesem Hintergrund schließen die Parteien den nachfolgenden Vertrag:</w:t>
      </w:r>
    </w:p>
    <w:p w14:paraId="17DCEB15" w14:textId="3A4A7456" w:rsidR="00242B2D" w:rsidRPr="001F3A07" w:rsidRDefault="008E2F2F" w:rsidP="001F3A07">
      <w:pPr>
        <w:spacing w:after="200" w:line="276" w:lineRule="auto"/>
        <w:rPr>
          <w:rFonts w:cs="Arial"/>
          <w:sz w:val="22"/>
          <w:lang w:val="de-DE"/>
        </w:rPr>
      </w:pPr>
      <w:r>
        <w:rPr>
          <w:rFonts w:cs="Arial"/>
          <w:sz w:val="22"/>
          <w:lang w:val="de-DE"/>
        </w:rPr>
        <w:br w:type="page"/>
      </w:r>
    </w:p>
    <w:p w14:paraId="01EEB3F2" w14:textId="587FE1F0" w:rsidR="002D021F" w:rsidRPr="00D12263" w:rsidRDefault="0087228C" w:rsidP="00D12263">
      <w:pPr>
        <w:pStyle w:val="LutE-LvL1-Heading"/>
        <w:rPr>
          <w:rFonts w:cs="Arial"/>
        </w:rPr>
      </w:pPr>
      <w:bookmarkStart w:id="1" w:name="_Toc242102363"/>
      <w:r>
        <w:rPr>
          <w:rFonts w:cs="Arial"/>
        </w:rPr>
        <w:lastRenderedPageBreak/>
        <w:t>Vertragsgegenstand</w:t>
      </w:r>
      <w:bookmarkEnd w:id="1"/>
    </w:p>
    <w:p w14:paraId="4045FFFD" w14:textId="58F55327" w:rsidR="006A73F8" w:rsidRPr="00DD2346" w:rsidRDefault="00544472" w:rsidP="00B90D81">
      <w:pPr>
        <w:pStyle w:val="LutE-LvL2-Heading"/>
      </w:pPr>
      <w:r>
        <w:t xml:space="preserve">Vertragsgegenstand ist die Entwicklung, Lieferung und Dokumentation eines vollständig funktionsgleichen Ersatz-Türsteuergerätes für das abgekündigte Türsteuergerät MT24 der Firma „Bode – Die Tür GmbH“ (Bode-Nr.: 004-0020-301), welches in den Fahrzeugserien NGT D8 DD und NGT D12 DD der Dresdner Verkehrsbetriebe eingesetzt wird. Das neue Türsteuergerät muss so ausgelegt sein, dass es ohne konstruktive, elektrische oder softwareseitige Änderungen am Fahrzeug, an der Türmechanik, am Türantrieb oder an der Fahrzeugsteuerung in die bestehende Fahrzeugarchitektur integriert werden kann. Das Türsteuergerät ist für insgesamt 83 </w:t>
      </w:r>
      <w:r>
        <w:rPr>
          <w:rFonts w:cs="Arial"/>
        </w:rPr>
        <w:t>Bestandsfahrzeuge bestehend aus den Typen NGT D8 DD und NGT D12 DD</w:t>
      </w:r>
      <w:r>
        <w:t xml:space="preserve"> zu liefern. </w:t>
      </w:r>
      <w:r>
        <w:t>Weiterer Vertragsgegenstand ist</w:t>
      </w:r>
      <w:r>
        <w:t xml:space="preserve"> die Erbringung der Ersatzversorgung für defekte Türsteuergeräte in Übereinstimmung mit der Leistungsbeschreibung (Anlage 01) sowie dieses Hauptdokuments.</w:t>
      </w:r>
    </w:p>
    <w:p w14:paraId="22E0D43D" w14:textId="5683E9DD" w:rsidR="00544472" w:rsidRDefault="006A73F8" w:rsidP="006A73F8">
      <w:pPr>
        <w:pStyle w:val="LutE-LvL2-Heading"/>
        <w:numPr>
          <w:ilvl w:val="0"/>
          <w:numId w:val="0"/>
        </w:numPr>
        <w:ind w:left="567"/>
      </w:pPr>
      <w:r>
        <w:t xml:space="preserve">Die neue Türsteuerung soll so entwickelt und gebaut sein, dass sie gemäß § 62 der BOStrab als „Bauteil gleicher Funktion und Leistung“ eingestuft werden kann und somit keine Neuzulassung </w:t>
      </w:r>
      <w:r>
        <w:t>(keine Inbetriebnahmegenehmigung)</w:t>
      </w:r>
      <w:r>
        <w:t xml:space="preserve"> des Fahrzeugs oder der Fahrgasttüren/Türsteuerung durch die Technische Aufsichtsbehörde (TAB) notwendig macht. Der Auftragnehmer (AN) hat hierfür die entsprechende Erklärung sowie alle erforderlichen Nachweise, Dokumente und Gutachten bereitzustellen.</w:t>
      </w:r>
    </w:p>
    <w:p w14:paraId="0C16A835" w14:textId="1343C8E6" w:rsidR="006A73F8" w:rsidRPr="006A73F8" w:rsidRDefault="006A73F8" w:rsidP="00B90D81">
      <w:pPr>
        <w:pStyle w:val="LutE-LvL2-Heading"/>
        <w:numPr>
          <w:ilvl w:val="1"/>
          <w:numId w:val="10"/>
        </w:numPr>
      </w:pPr>
      <w:r>
        <w:t>Soweit der AG die in der Leistungsbeschreibung (Anlage 01) aufgeführten optionalen Leistungen abruft, gehören diese ebenfalls zum Leistungsumfang des AN.</w:t>
      </w:r>
    </w:p>
    <w:p w14:paraId="1A0779F4" w14:textId="4170B3A6" w:rsidR="00544472" w:rsidRDefault="00544472" w:rsidP="00544472">
      <w:pPr>
        <w:pStyle w:val="LutE-LvL2-Heading"/>
        <w:numPr>
          <w:ilvl w:val="1"/>
          <w:numId w:val="10"/>
        </w:numPr>
      </w:pPr>
      <w:r>
        <w:t>Der AN erbringt sämtliche Leistungen in eigener Verantwortung und unter Beachtung der geltenden rechtlichen Vorgaben.</w:t>
      </w:r>
    </w:p>
    <w:p w14:paraId="2BDE4435" w14:textId="7DD7C1A6" w:rsidR="00544472" w:rsidRPr="000D39AD" w:rsidRDefault="00544472" w:rsidP="00544472">
      <w:pPr>
        <w:pStyle w:val="LutE-LvL2-Heading"/>
        <w:numPr>
          <w:ilvl w:val="1"/>
          <w:numId w:val="10"/>
        </w:numPr>
        <w:rPr>
          <w:b/>
        </w:rPr>
      </w:pPr>
      <w:r>
        <w:t>Vertragssprache ist Deutsch. Die gesamte Kommunikation im Zusammenhang mit diesem Vertrag sowie dessen Durchführung erfolgt in deutscher Sprache. Gleiches gilt für sämtliche Leistungen, Dokumentationen und Arbeitsergebnisse des AN.</w:t>
      </w:r>
    </w:p>
    <w:p w14:paraId="08EB726F" w14:textId="77777777" w:rsidR="00544472" w:rsidRDefault="00544472" w:rsidP="00544472">
      <w:pPr>
        <w:pStyle w:val="LutE-LvL2-Heading"/>
        <w:numPr>
          <w:ilvl w:val="1"/>
          <w:numId w:val="10"/>
        </w:numPr>
      </w:pPr>
      <w:r>
        <w:t>Sofern keine abweichende Vereinbarung getroffen wird, ist Dresden Erfüllungsort für die vertraglich geschuldeten Leistungen.</w:t>
      </w:r>
    </w:p>
    <w:p w14:paraId="24BAFAEC" w14:textId="26597194" w:rsidR="006A73F8" w:rsidRDefault="006A73F8" w:rsidP="006A73F8">
      <w:pPr>
        <w:pStyle w:val="LutE-LvL1-Heading"/>
      </w:pPr>
      <w:bookmarkStart w:id="2" w:name="_Toc242102364"/>
      <w:r>
        <w:t>Vertragsbestandteile und Geltungsreihenfolge</w:t>
      </w:r>
      <w:bookmarkEnd w:id="2"/>
    </w:p>
    <w:p w14:paraId="5578DADE" w14:textId="592CED52" w:rsidR="006A73F8" w:rsidRDefault="006A73F8" w:rsidP="006A73F8">
      <w:pPr>
        <w:pStyle w:val="LutE-LvL2-Heading"/>
      </w:pPr>
      <w:r>
        <w:t>Der Vertrag besteht aus diesem Hauptdokument und den in Ziffer 31 aufgeführten Anlagen. Die Anlagen sind integraler Vertragsbestandteil. Im Fall von Widersprüchen gelten die Vertragsdokumente in folgender Rangfolge:</w:t>
      </w:r>
    </w:p>
    <w:p w14:paraId="1340CE41" w14:textId="5761B97E" w:rsidR="00154DCA" w:rsidRPr="00EC72F5" w:rsidRDefault="006A73F8" w:rsidP="00EC72F5">
      <w:pPr>
        <w:pStyle w:val="Aufzhlungszeichen"/>
        <w:tabs>
          <w:tab w:val="clear" w:pos="360"/>
          <w:tab w:val="num" w:pos="1440"/>
        </w:tabs>
        <w:ind w:left="1440"/>
        <w:rPr>
          <w:lang w:val="de-DE"/>
        </w:rPr>
      </w:pPr>
      <w:r>
        <w:rPr>
          <w:lang w:val="de-DE"/>
        </w:rPr>
        <w:t>Die Bestimmungen dieses Hauptdokuments</w:t>
      </w:r>
    </w:p>
    <w:p w14:paraId="1499549F" w14:textId="4E339FA1" w:rsidR="00E37A13" w:rsidRPr="00154DCA" w:rsidRDefault="00453F1E" w:rsidP="00154DCA">
      <w:pPr>
        <w:pStyle w:val="Aufzhlungszeichen"/>
        <w:tabs>
          <w:tab w:val="clear" w:pos="360"/>
          <w:tab w:val="num" w:pos="1440"/>
        </w:tabs>
        <w:ind w:left="1440"/>
        <w:rPr>
          <w:lang w:val="de-DE"/>
        </w:rPr>
      </w:pPr>
      <w:r>
        <w:rPr>
          <w:lang w:val="de-DE"/>
        </w:rPr>
        <w:lastRenderedPageBreak/>
        <w:t>Das Zuschlagsschreiben des Auftraggebers</w:t>
      </w:r>
    </w:p>
    <w:p w14:paraId="2132223A" w14:textId="2A7EDBA6" w:rsidR="006A73F8" w:rsidRPr="00A179EE" w:rsidRDefault="006A73F8" w:rsidP="006A73F8">
      <w:pPr>
        <w:pStyle w:val="Aufzhlungszeichen"/>
        <w:tabs>
          <w:tab w:val="clear" w:pos="360"/>
          <w:tab w:val="num" w:pos="1440"/>
        </w:tabs>
        <w:ind w:left="1440"/>
        <w:rPr>
          <w:lang w:val="de-DE"/>
        </w:rPr>
      </w:pPr>
      <w:r>
        <w:rPr>
          <w:lang w:val="de-DE"/>
        </w:rPr>
        <w:t>Die Leistungsbeschreibung (Anlage 01)</w:t>
      </w:r>
    </w:p>
    <w:p w14:paraId="7E0F5E17" w14:textId="5FBD3CB4" w:rsidR="00D5362A" w:rsidRPr="00A179EE" w:rsidRDefault="00D5362A" w:rsidP="00D5362A">
      <w:pPr>
        <w:pStyle w:val="Aufzhlungszeichen"/>
        <w:tabs>
          <w:tab w:val="clear" w:pos="360"/>
          <w:tab w:val="num" w:pos="1440"/>
        </w:tabs>
        <w:ind w:left="1440"/>
        <w:rPr>
          <w:lang w:val="de-DE"/>
        </w:rPr>
      </w:pPr>
      <w:r>
        <w:rPr>
          <w:lang w:val="de-DE"/>
        </w:rPr>
        <w:t>Preisblatt (Anlage 02)</w:t>
      </w:r>
    </w:p>
    <w:p w14:paraId="3592D8F7" w14:textId="78F17AD7" w:rsidR="00D5362A" w:rsidRPr="001F3A07" w:rsidRDefault="00C20449" w:rsidP="00D5362A">
      <w:pPr>
        <w:pStyle w:val="Aufzhlungszeichen"/>
        <w:tabs>
          <w:tab w:val="clear" w:pos="360"/>
          <w:tab w:val="num" w:pos="1440"/>
        </w:tabs>
        <w:ind w:left="1440"/>
        <w:rPr>
          <w:lang w:val="de-DE"/>
        </w:rPr>
      </w:pPr>
      <w:r>
        <w:rPr>
          <w:lang w:val="de-DE"/>
        </w:rPr>
        <w:t>Mängelklassifizierung und Reaktionszeiten</w:t>
      </w:r>
      <w:r>
        <w:rPr>
          <w:lang w:val="de-DE"/>
        </w:rPr>
        <w:t xml:space="preserve"> (Anlage 03)</w:t>
      </w:r>
    </w:p>
    <w:p w14:paraId="5FEB7791" w14:textId="0A65A214" w:rsidR="00D5362A" w:rsidRPr="00A179EE" w:rsidRDefault="00D5362A" w:rsidP="00D5362A">
      <w:pPr>
        <w:pStyle w:val="Aufzhlungszeichen"/>
        <w:tabs>
          <w:tab w:val="clear" w:pos="360"/>
          <w:tab w:val="num" w:pos="1440"/>
        </w:tabs>
        <w:ind w:left="1440"/>
        <w:rPr>
          <w:lang w:val="de-DE"/>
        </w:rPr>
      </w:pPr>
      <w:r>
        <w:rPr>
          <w:lang w:val="de-DE"/>
        </w:rPr>
        <w:t>Vertraulichkeitsvereinbarung (Anlage 04)</w:t>
      </w:r>
    </w:p>
    <w:p w14:paraId="6D953061" w14:textId="63028643" w:rsidR="00D5362A" w:rsidRDefault="00D5362A" w:rsidP="006A73F8">
      <w:pPr>
        <w:pStyle w:val="Aufzhlungszeichen"/>
        <w:tabs>
          <w:tab w:val="clear" w:pos="360"/>
          <w:tab w:val="num" w:pos="1440"/>
        </w:tabs>
        <w:ind w:left="1440"/>
        <w:rPr>
          <w:lang w:val="de-DE"/>
        </w:rPr>
      </w:pPr>
      <w:r>
        <w:rPr>
          <w:lang w:val="de-DE"/>
        </w:rPr>
        <w:t>Verpflichtungserklärung Nachunternehmer</w:t>
      </w:r>
      <w:r>
        <w:rPr>
          <w:lang w:val="de-DE"/>
        </w:rPr>
        <w:t xml:space="preserve"> (Anlage 05)</w:t>
      </w:r>
    </w:p>
    <w:p w14:paraId="370F154C" w14:textId="55222185" w:rsidR="00D5362A" w:rsidRDefault="00D5362A" w:rsidP="006A73F8">
      <w:pPr>
        <w:pStyle w:val="Aufzhlungszeichen"/>
        <w:tabs>
          <w:tab w:val="clear" w:pos="360"/>
          <w:tab w:val="num" w:pos="1440"/>
        </w:tabs>
        <w:ind w:left="1440"/>
        <w:rPr>
          <w:lang w:val="de-DE"/>
        </w:rPr>
      </w:pPr>
      <w:r>
        <w:rPr>
          <w:lang w:val="de-DE"/>
        </w:rPr>
        <w:t>Lieferantenkodex (Anlage 06)</w:t>
      </w:r>
    </w:p>
    <w:p w14:paraId="0EA6A14B" w14:textId="196CDFD5" w:rsidR="006A73F8" w:rsidRPr="006A73F8" w:rsidRDefault="006A73F8" w:rsidP="00B90D81">
      <w:pPr>
        <w:pStyle w:val="Aufzhlungszeichen"/>
        <w:tabs>
          <w:tab w:val="clear" w:pos="360"/>
          <w:tab w:val="num" w:pos="1440"/>
        </w:tabs>
        <w:ind w:left="1440"/>
        <w:rPr>
          <w:lang w:val="de-DE"/>
        </w:rPr>
      </w:pPr>
      <w:r>
        <w:rPr>
          <w:lang w:val="de-DE"/>
        </w:rPr>
        <w:t>Ansprechpartner (Anlage 07)</w:t>
      </w:r>
    </w:p>
    <w:p w14:paraId="7FA26E4F" w14:textId="79E8DD8F" w:rsidR="00D5362A" w:rsidRDefault="0033156F" w:rsidP="006A73F8">
      <w:pPr>
        <w:pStyle w:val="Aufzhlungszeichen"/>
        <w:tabs>
          <w:tab w:val="clear" w:pos="360"/>
          <w:tab w:val="num" w:pos="1440"/>
        </w:tabs>
        <w:ind w:left="1440"/>
        <w:rPr>
          <w:lang w:val="de-DE"/>
        </w:rPr>
      </w:pPr>
      <w:r>
        <w:rPr>
          <w:lang w:val="de-DE"/>
        </w:rPr>
        <w:t>ISMS-Anforderungskatalog (Anlage 08)</w:t>
      </w:r>
    </w:p>
    <w:p w14:paraId="76EEFE49" w14:textId="449CAF07" w:rsidR="00A0646F" w:rsidRDefault="00D5362A" w:rsidP="006A73F8">
      <w:pPr>
        <w:pStyle w:val="Aufzhlungszeichen"/>
        <w:tabs>
          <w:tab w:val="clear" w:pos="360"/>
          <w:tab w:val="num" w:pos="1440"/>
        </w:tabs>
        <w:ind w:left="1440"/>
        <w:rPr>
          <w:lang w:val="de-DE"/>
        </w:rPr>
      </w:pPr>
      <w:r>
        <w:rPr>
          <w:lang w:val="de-DE"/>
        </w:rPr>
        <w:t>Das Angebot des Auftragnehmers (Anlage 09)</w:t>
      </w:r>
    </w:p>
    <w:p w14:paraId="0BFE9FCB" w14:textId="77777777" w:rsidR="009D1E8D" w:rsidRPr="006F58BB" w:rsidRDefault="009D1E8D" w:rsidP="009D1E8D">
      <w:pPr>
        <w:pStyle w:val="Aufzhlungszeichen"/>
        <w:tabs>
          <w:tab w:val="clear" w:pos="360"/>
          <w:tab w:val="num" w:pos="1440"/>
        </w:tabs>
        <w:ind w:left="1440"/>
        <w:rPr>
          <w:szCs w:val="21"/>
          <w:lang w:val="de-DE"/>
        </w:rPr>
      </w:pPr>
      <w:r w:rsidRPr="006F58BB">
        <w:rPr>
          <w:szCs w:val="21"/>
          <w:lang w:val="de-DE"/>
        </w:rPr>
        <w:t>Die AEB der DVB AG</w:t>
      </w:r>
      <w:r>
        <w:rPr>
          <w:szCs w:val="21"/>
          <w:lang w:val="de-DE"/>
        </w:rPr>
        <w:t>:</w:t>
      </w:r>
      <w:r w:rsidRPr="006F58BB">
        <w:rPr>
          <w:szCs w:val="21"/>
          <w:lang w:val="de-DE"/>
        </w:rPr>
        <w:t xml:space="preserve"> Stand 25.11.2025 (Anlage 10)</w:t>
      </w:r>
    </w:p>
    <w:p w14:paraId="11848EEA" w14:textId="4A0AD05F" w:rsidR="00D5362A" w:rsidRDefault="00D5362A" w:rsidP="00D5362A">
      <w:pPr>
        <w:pStyle w:val="LutE-LvL2-Heading"/>
      </w:pPr>
      <w:r>
        <w:t>Sonstige Vertrags- oder Geschäftsbedingungen der Parteien werden nicht Vertragsbestandteil, und zwar auch dann, wenn sich eine Partei in späterer Korrespondenz (z. B. auf Rechnungen) darauf bezieht.</w:t>
      </w:r>
    </w:p>
    <w:p w14:paraId="69E789C6" w14:textId="777C7A99" w:rsidR="00D5362A" w:rsidRPr="00D5362A" w:rsidRDefault="00D5362A" w:rsidP="00B90D81">
      <w:pPr>
        <w:pStyle w:val="LutE-LvL2-Heading"/>
      </w:pPr>
      <w:r>
        <w:t>Soweit die Parteien nichts anderes vereinbaren, gelten die Bestimmungen dieses Vertrages auch für Vertragsnachträge.</w:t>
      </w:r>
    </w:p>
    <w:p w14:paraId="4FDCB417" w14:textId="24C6E72C" w:rsidR="002D021F" w:rsidRPr="00D12263" w:rsidRDefault="00D5362A" w:rsidP="00D12263">
      <w:pPr>
        <w:pStyle w:val="LutE-LvL1-Heading"/>
        <w:rPr>
          <w:rFonts w:cs="Arial"/>
        </w:rPr>
      </w:pPr>
      <w:bookmarkStart w:id="3" w:name="_Toc242102365"/>
      <w:r>
        <w:rPr>
          <w:rFonts w:cs="Arial"/>
        </w:rPr>
        <w:t>Abruf optionaler Leistungen</w:t>
      </w:r>
      <w:bookmarkEnd w:id="3"/>
    </w:p>
    <w:p w14:paraId="60F5C818" w14:textId="7588A5D7" w:rsidR="002D021F" w:rsidRPr="00D12263" w:rsidRDefault="0087228C" w:rsidP="002B23AD">
      <w:pPr>
        <w:pStyle w:val="LutE-LvL2-Heading"/>
      </w:pPr>
      <w:r>
        <w:t>Die in § 7 der Leistungsbeschreibung genannten Optionen sind nicht Bestandteil der vertraglich geschuldeten Grundleistung. Sie werden vom AN im Angebot gesondert bepreist (vgl. Anlage 02 – Preisblatt) und stehen dem AG als einseitiges Leistungsbestimmungsrecht zu.</w:t>
      </w:r>
    </w:p>
    <w:p w14:paraId="500A3695" w14:textId="2E7ABCF0" w:rsidR="002D021F" w:rsidRPr="00D12263" w:rsidRDefault="0087228C" w:rsidP="002B23AD">
      <w:pPr>
        <w:pStyle w:val="LutE-LvL2-Heading"/>
      </w:pPr>
      <w:r>
        <w:t>Der AG kann jede Option innerhalb eines Zeitraums von 24 Monaten ab Vertragsschluss durch schriftliche Erklärung gegenüber dem AN ganz, teilweise oder gar nicht abrufen. Nach Ablauf dieser Frist erlischt der Anspruch auf Ausübung der jeweiligen Option, sofern nicht einvernehmlich eine Verlängerung vereinbart wird.</w:t>
      </w:r>
    </w:p>
    <w:p w14:paraId="32DCC141" w14:textId="19724D4C" w:rsidR="002D021F" w:rsidRPr="00D12263" w:rsidRDefault="0087228C" w:rsidP="002B23AD">
      <w:pPr>
        <w:pStyle w:val="LutE-LvL2-Heading"/>
      </w:pPr>
      <w:r>
        <w:t xml:space="preserve">Mit Zugang der Abrufserklärung wird die jeweilige Option zu den im Angebot festgelegten Preisen und Bedingungen Vertragsbestandteil und unterliegt den vertraglich definierten Vorgaben zu Abnahme und/oder Freigabe. Der AN ist verpflichtet, die abgerufene Leistung zu den ursprünglich angebotenen Konditionen zu erbringen; eine nachträgliche Preisanpassung ist ausgeschlossen. Dies gilt nicht, soweit eine einvernehmliche Verlängerung des Anspruches auf Ausübung der Option gem. Ziffer 3.2 vereinbart worden ist. In diesem Fall kann für den Zeitraum nach 24 Monaten ab Vertragsschluss eine Preisanpassung gemäß der in Ziffer 11.6 geregelten Preisgleitregelung erfolgen. </w:t>
      </w:r>
    </w:p>
    <w:p w14:paraId="59EEAD42" w14:textId="510C1182" w:rsidR="002D021F" w:rsidRPr="00D12263" w:rsidRDefault="0087228C" w:rsidP="002B23AD">
      <w:pPr>
        <w:pStyle w:val="LutE-LvL2-Heading"/>
      </w:pPr>
      <w:r>
        <w:t>Wird eine Option nicht abgerufen, entsteht dem AN hieraus kein Anspruch auf Vergütung oder Schadensersatz.</w:t>
      </w:r>
    </w:p>
    <w:p w14:paraId="3479A43B" w14:textId="5FAAC907" w:rsidR="002D021F" w:rsidRDefault="0087228C" w:rsidP="00D12263">
      <w:pPr>
        <w:pStyle w:val="LutE-LvL1-Heading"/>
        <w:rPr>
          <w:rFonts w:cs="Arial"/>
        </w:rPr>
      </w:pPr>
      <w:bookmarkStart w:id="4" w:name="_Toc242102366"/>
      <w:r>
        <w:rPr>
          <w:rFonts w:cs="Arial"/>
        </w:rPr>
        <w:lastRenderedPageBreak/>
        <w:t>Leistungsumfang des Auftragnehmers/Vertragsphasen</w:t>
      </w:r>
      <w:bookmarkEnd w:id="4"/>
    </w:p>
    <w:p w14:paraId="298A3803" w14:textId="630F97BE" w:rsidR="00A8154D" w:rsidRDefault="00A8154D" w:rsidP="00A8154D">
      <w:pPr>
        <w:pStyle w:val="LutE-LvL2-Heading"/>
      </w:pPr>
      <w:r>
        <w:t>Vertragsphasen</w:t>
      </w:r>
    </w:p>
    <w:p w14:paraId="423C394C" w14:textId="2D064DB9" w:rsidR="00732B12" w:rsidRDefault="00F8777D" w:rsidP="00732B12">
      <w:pPr>
        <w:pStyle w:val="LutE-LvL2-Heading"/>
        <w:numPr>
          <w:ilvl w:val="0"/>
          <w:numId w:val="0"/>
        </w:numPr>
        <w:ind w:left="567"/>
      </w:pPr>
      <w:r>
        <w:t>Die Entwicklung und Lieferung der Türsteuergeräte wird in diesem Vertragsdokument in der Gesamtheit als Realisierungsphase bezeichnet. Während der Realisierungsphase erstellt der AN die in der Leistungsbeschreibung und den weiteren Vertragsunterlagen definierte Gesamtlösung. Die Realisierungsphase ist in verschiedene Unterphasen unterteilt, nämlich die Pflichtenheftphase, die Testphase und die Rollout-Phase. Der AN konzipiert und spezifiziert die Gesamtlösung weiter, stellt die vereinbarten Komponenten bereit und implementiert die Gesamtlösung zunächst für einen Testbetrieb mit ausgewählten Fahrzeugen. Anschließend erfolgt der Roll-Out für die gesamte Fahrzeugflotte des AG. Jede Unterphase endet mit einem Projektmeilenstein. Die Realisierungsphase endet mit der Abnahme der Leistungen der Realisierungsphase.</w:t>
      </w:r>
    </w:p>
    <w:p w14:paraId="39E3035B" w14:textId="5D30DD43" w:rsidR="00A41C8A" w:rsidRPr="00732B12" w:rsidRDefault="000B0330" w:rsidP="00732B12">
      <w:pPr>
        <w:pStyle w:val="LutE-LvL2-Heading"/>
        <w:numPr>
          <w:ilvl w:val="0"/>
          <w:numId w:val="0"/>
        </w:numPr>
        <w:ind w:left="567"/>
      </w:pPr>
      <w:r>
        <w:t>Die Bereitstellung von Ersatzgeräten durch den Auftragnehmer zur Sicherstellung der Betriebsbereitschaft der Anlagen des Auftraggebers im Falle eines Defekts eines Türsteuergeräts wird nachfolgend als „Servicephase“ bezeichnet. Die Servicephase umfasst die Versorgung des Auftraggebers mit Ersatzgeräten unabhängig davon, ob für das jeweils ausgefallene Türsteuergerät noch Gewährleistungsansprüche bestehen oder nicht. Der Auftragnehmer hat die Leistungen der Servicephase bis zum Ende der Vertragslaufzeit am 31.12.2045 zu erbringen.</w:t>
      </w:r>
    </w:p>
    <w:p w14:paraId="06D8E1F8" w14:textId="164F22B8" w:rsidR="004871C7" w:rsidRDefault="004871C7" w:rsidP="004871C7">
      <w:pPr>
        <w:pStyle w:val="LutE-LvL2-Heading"/>
        <w:numPr>
          <w:ilvl w:val="1"/>
          <w:numId w:val="10"/>
        </w:numPr>
      </w:pPr>
      <w:r>
        <w:rPr>
          <w:b/>
          <w:bCs/>
        </w:rPr>
        <w:t>Der Ablaufplan</w:t>
      </w:r>
      <w:r>
        <w:t xml:space="preserve"> zu dem Projekt lässt sich dem unter § 5 benannten Fristen- und Zeitplan der Leistungsbeschreibung (Anlage 01) entnehmen. Die dort geregelten Fristen und Termine sind </w:t>
      </w:r>
      <w:r>
        <w:rPr>
          <w:b/>
          <w:bCs/>
        </w:rPr>
        <w:t>verbindlich und in die Feinplanung</w:t>
      </w:r>
      <w:r>
        <w:t xml:space="preserve"> zu übertragen. Diese Feinplanung des Projektes ist durch den AN vor Maßnahmenbeginn im Rahmen der Pflichtenheftphase zu erstellen und dem AG schriftlich oder als E-Mail zu übermitteln. Die Feinplanung unterliegt der Freigabe durch den AG.</w:t>
      </w:r>
    </w:p>
    <w:p w14:paraId="49618B5C" w14:textId="7D36DE7A" w:rsidR="004871C7" w:rsidRDefault="004871C7" w:rsidP="004871C7">
      <w:pPr>
        <w:pStyle w:val="LutE-LvL2-Text"/>
      </w:pPr>
      <w:r>
        <w:t>Der AN hat die Verantwortung für die Einhaltung der vereinbarten Fristen und Termine.</w:t>
      </w:r>
    </w:p>
    <w:p w14:paraId="3E2C1EF7" w14:textId="5947EA53" w:rsidR="004871C7" w:rsidRDefault="004871C7" w:rsidP="004871C7">
      <w:pPr>
        <w:pStyle w:val="LutE-LvL2-Text"/>
      </w:pPr>
      <w:r>
        <w:t xml:space="preserve">Anpassung der </w:t>
      </w:r>
      <w:r>
        <w:t>im geplanten</w:t>
      </w:r>
      <w:r>
        <w:t xml:space="preserve"> Teilprojektablauf oder weiterer in der Feinplanung festgelegten Termine ist auf Projektleitungsebene möglich und bedarf der Textform (z. B. E-Mail-Korrespondenz oder abgestimmtes Sitzungsprotokoll). Der AG kann Anpassungen der nicht im Teilprojektablauf enthaltenen weiteren Termine und Fristen der Feinplanung verlangen, wenn ein sachlicher Grund hierfür besteht. Terminanpassungen ohne Zustimmung des AG sind nicht möglich. </w:t>
      </w:r>
    </w:p>
    <w:p w14:paraId="0B71CCF1" w14:textId="05221BE1" w:rsidR="004871C7" w:rsidRDefault="004871C7" w:rsidP="004871C7">
      <w:pPr>
        <w:pStyle w:val="LutE-LvL2-Heading"/>
      </w:pPr>
      <w:r>
        <w:t>Pflichtenheftphase</w:t>
      </w:r>
    </w:p>
    <w:p w14:paraId="3F7FEF6B" w14:textId="36F55908" w:rsidR="00104C83" w:rsidRDefault="00104C83" w:rsidP="00B90D81">
      <w:pPr>
        <w:pStyle w:val="LutE-LvL3-Heading"/>
      </w:pPr>
      <w:r>
        <w:lastRenderedPageBreak/>
        <w:t xml:space="preserve">Gegenstand der Pflichtenheftphase ist die Erstellung eines Pflichtenhefts </w:t>
      </w:r>
      <w:r>
        <w:t>durch den AN. In einem</w:t>
      </w:r>
      <w:r>
        <w:t xml:space="preserve"> Pflichtenheft hat der AN darzulegen, wie er beabsichtigt, die in der Leistungsbeschreibung formulierten Anforderungen an die für die Gesamtlösung zu erbringenden Leistungen der Realisierungsphase im Einzelnen umzusetzen. Zum Zwecke der Vorbereitung des Pflichtenhefts werden der AG und der AN unverzüglich nach Vertragsschluss ein technisches Gespräch zur Konkretisierung der technischen Vorgaben vereinbaren und durchführen. Soweit der AN von einer Vorgabe der Leistungsbeschreibung abweichen will, hat er dies im Pflichtenheft ausdrücklich kenntlich zu machen und die alternative Ausführung zu begründen und zu erläutern. Die geplante Änderung bedarf einer gesonderten Freigabe durch den AG.</w:t>
      </w:r>
      <w:r>
        <w:rPr>
          <w:rFonts w:eastAsia="Arial"/>
          <w:sz w:val="21"/>
        </w:rPr>
        <w:t xml:space="preserve"> </w:t>
      </w:r>
      <w:r>
        <w:t>Die Anpassung/Konkretisierung der bereits vereinbarten Leistungen ist keine Leistungsänderung und bedarf daher keiner gesonderten Freigabe.</w:t>
      </w:r>
    </w:p>
    <w:p w14:paraId="2A10C24D" w14:textId="6A808C7A" w:rsidR="00104C83" w:rsidRDefault="00104C83" w:rsidP="00B90D81">
      <w:pPr>
        <w:pStyle w:val="LutE-LvL3-Heading"/>
      </w:pPr>
      <w:r>
        <w:t>Der AN hat mit der Erstellung des Pflichtenhefts unverzüglich nach Vertragsschluss zu beginnen und sich dabei eng mit dem AG abzustimmen. Insbesondere hat der AN den AG rechtzeitig über erforderliche Entscheidungen durch den AG sowie über beabsichtigte Abweichungen von den Vorgaben der Leistungsbeschreibung zu informieren.</w:t>
      </w:r>
    </w:p>
    <w:p w14:paraId="5FFAC310" w14:textId="31E5B648" w:rsidR="00104C83" w:rsidRDefault="00104C83" w:rsidP="00B90D81">
      <w:pPr>
        <w:pStyle w:val="LutE-LvL3-Heading"/>
      </w:pPr>
      <w:r>
        <w:t xml:space="preserve">Das abgestimmte und durch den AN unterzeichnete Pflichtenheft muss der AN dem AG gem. dem </w:t>
      </w:r>
      <w:r>
        <w:t>Zeitplan nach § 5 der Leistungsbeschreibung</w:t>
      </w:r>
      <w:r>
        <w:t xml:space="preserve"> nach Vertragsschluss per E-Mail als PDF zur Freigabe vorlegen. Der AG gibt das Pflichtenheft durch seine Gegenzeichnung und Rückübersendung per E-Mail an den AN frei. Eine </w:t>
      </w:r>
      <w:proofErr w:type="gramStart"/>
      <w:r>
        <w:t>stillschweigende</w:t>
      </w:r>
      <w:proofErr w:type="gramEnd"/>
      <w:r>
        <w:t xml:space="preserve"> Freigabe des Pflichtenhefts ist ausgeschlossen. Gibt der AG das Pflichtenheft nicht frei, hat er dies gegenüber dem AN schriftlich zu begründen. Der AN hat die Gründe der Nichtfreigabe sodann zu beseitigen und das Pflichtenheft dem AG entsprechend der vorgenannten Bestimmungen erneut zur Freigabe vorzulegen.</w:t>
      </w:r>
    </w:p>
    <w:p w14:paraId="321A1468" w14:textId="5993A7D8" w:rsidR="00104C83" w:rsidRDefault="00104C83" w:rsidP="00B90D81">
      <w:pPr>
        <w:pStyle w:val="LutE-LvL3-Heading"/>
      </w:pPr>
      <w:r>
        <w:t>Das freigegebene Pflichtenheft bildet die maßgebliche Grundlage für die geschuldete Beschaffenheit der Gesamtlösung.</w:t>
      </w:r>
    </w:p>
    <w:p w14:paraId="2D8D9A39" w14:textId="77777777" w:rsidR="00104C83" w:rsidRDefault="00104C83" w:rsidP="00104C83">
      <w:pPr>
        <w:pStyle w:val="LutE-LvL3-Heading"/>
      </w:pPr>
      <w:r>
        <w:t>Die Erstellung des Pflichtenhefts stellt eine eigenständige, geschuldete Leistungspflicht des AN dar, auf deren rechtmäßige Erfüllung der AG Anspruch hat.</w:t>
      </w:r>
    </w:p>
    <w:p w14:paraId="554C0F87" w14:textId="2E7A70E9" w:rsidR="00104C83" w:rsidRDefault="00104C83" w:rsidP="00E36EDE">
      <w:pPr>
        <w:pStyle w:val="LutE-LvL2-Heading"/>
        <w:keepNext/>
      </w:pPr>
      <w:r>
        <w:lastRenderedPageBreak/>
        <w:t>Testphase</w:t>
      </w:r>
    </w:p>
    <w:p w14:paraId="16728B05" w14:textId="65E2BF21" w:rsidR="00D62D7C" w:rsidRDefault="00D62D7C" w:rsidP="00E36EDE">
      <w:pPr>
        <w:pStyle w:val="LutE-LvL3-Heading"/>
        <w:keepNext/>
      </w:pPr>
      <w:r>
        <w:t xml:space="preserve">Zur Erprobung der neuen Türsteuergeräte ist eine Testphase vor Serienlieferung vorgesehen. </w:t>
      </w:r>
      <w:r>
        <w:t>Ein Fahrzeug des Fahrzeugtyps NGT D12 DD mit sechs Türen (5 Fahrgasttüren und 1 Fahrertür) ist hierfür mit den Pilotgeräten auszustatten.</w:t>
      </w:r>
      <w:r>
        <w:t xml:space="preserve"> Der Einbau der Geräte erfolgt durch die Parteien gemeinsam. Die </w:t>
      </w:r>
      <w:r>
        <w:t>Testphase beinhaltet drei</w:t>
      </w:r>
      <w:r>
        <w:t xml:space="preserve"> wichtige Meilensteine (Konstruktionsfreigabe, Typtest und Sicherheitsgutachten), </w:t>
      </w:r>
      <w:r>
        <w:t>die in der Leistungsbeschreibung (Anlage 01, § 5) genauer definiert sind</w:t>
      </w:r>
      <w:r>
        <w:t>. Die mit dem Angebot im Preisblatt (Anlage 02, Abschnitt 5) angegebenen Termine für diese Meilensteine sind verbindlich durch den AN einzuhalten.</w:t>
      </w:r>
    </w:p>
    <w:p w14:paraId="4587E5D0" w14:textId="2753FE49" w:rsidR="00D62D7C" w:rsidRDefault="00D62D7C" w:rsidP="00D62D7C">
      <w:pPr>
        <w:pStyle w:val="LutE-LvL3-Heading"/>
      </w:pPr>
      <w:r>
        <w:t xml:space="preserve">Teil der Testphase ist die Erstellung eines detaillierten Prüf- und Abnahmeprotokolls durch den AN. Der AG ist in den Erstellungsprozess einzubeziehen. Das erstellte Protokoll ist ebenfalls für die im Rahmen der Rolloutphase zu verbauenden Geräte zu verwenden. </w:t>
      </w:r>
    </w:p>
    <w:p w14:paraId="25BB175F" w14:textId="688CEACF" w:rsidR="008A271D" w:rsidRPr="008A271D" w:rsidRDefault="008A271D" w:rsidP="008A271D">
      <w:pPr>
        <w:pStyle w:val="LutE-LvL3-Heading"/>
      </w:pPr>
      <w:r>
        <w:t>Der AN hat das technische Personal des AG im Zuge der Testphase hinreichend zu schulen, sodass der Wechsel der übrigen Türsteuergeräte durch das Personal des AG selbst durchgeführt werden kann.</w:t>
      </w:r>
    </w:p>
    <w:p w14:paraId="712974EB" w14:textId="386D9B83" w:rsidR="00D62D7C" w:rsidRDefault="008A271D" w:rsidP="00D62D7C">
      <w:pPr>
        <w:pStyle w:val="LutE-LvL3-Heading"/>
      </w:pPr>
      <w:r>
        <w:t>Nach Einbau der Geräte erfolgt ein Probebetrieb zum Test der Funktionen und Eigenschaften des Produktes. Mit vollständiger Erfüllung der Anforderungen des AG erfolgt eine Freigabe, damit endet diese Phase und die Serienausstattung im Rahmen der Rolloutphase kann beginnen.</w:t>
      </w:r>
    </w:p>
    <w:p w14:paraId="3305C17B" w14:textId="542C42EF" w:rsidR="008A271D" w:rsidRPr="008A271D" w:rsidRDefault="008A271D" w:rsidP="008A271D">
      <w:pPr>
        <w:pStyle w:val="LutE-LvL3-Heading"/>
      </w:pPr>
      <w:r>
        <w:t>Die Leistungen der Servicephase sind ab Freigabe der Testphase für die neu eingebauten Türsteuergeräte, sowohl der Test- als auch der Rolloutphase zu erbringen.</w:t>
      </w:r>
    </w:p>
    <w:p w14:paraId="06F62653" w14:textId="77777777" w:rsidR="008A271D" w:rsidRDefault="008A271D" w:rsidP="00D62D7C">
      <w:pPr>
        <w:pStyle w:val="LutE-LvL2-Heading"/>
      </w:pPr>
      <w:r>
        <w:t>Rolloutphase</w:t>
      </w:r>
    </w:p>
    <w:p w14:paraId="3EEFE89E" w14:textId="6F972713" w:rsidR="00D62D7C" w:rsidRDefault="00D62D7C" w:rsidP="008A271D">
      <w:pPr>
        <w:pStyle w:val="LutE-LvL3-Heading"/>
      </w:pPr>
      <w:r>
        <w:t>Die Rollout</w:t>
      </w:r>
      <w:r>
        <w:rPr>
          <w:rFonts w:ascii="Cambria Math" w:hAnsi="Cambria Math" w:cs="Cambria Math"/>
        </w:rPr>
        <w:t>‑</w:t>
      </w:r>
      <w:r>
        <w:t xml:space="preserve">Phase setzt unmittelbar nach dem Abschluss der Testphase ein. In diesem Abschnitt werden die Fahrzeuge sukzessive mit den neuen Türsteuergeräten ausgestattet (Serienumbau). </w:t>
      </w:r>
    </w:p>
    <w:p w14:paraId="5DAF6F91" w14:textId="75B81D1B" w:rsidR="008A271D" w:rsidRDefault="008A271D" w:rsidP="008A271D">
      <w:pPr>
        <w:pStyle w:val="LutE-LvL3-Heading"/>
      </w:pPr>
      <w:r>
        <w:t>Der Umbau erfolgt durch das technische Personal des AG. Jährlich sollen 8 bis 10 Fahrzeuge umgebaut werden. Der AN hat die erforderlichen Geräte fristgerecht zu den vorab kommunizierten Umbauterminen bereitzustellen und den AG bei Bedarf beim Umbau zu unterstützen. Die Regelung zur Kommunikation der Umbautermine ist im Pflichtenheft zu definieren.</w:t>
      </w:r>
    </w:p>
    <w:p w14:paraId="3F5F2AE6" w14:textId="247A260D" w:rsidR="004871C7" w:rsidRPr="007D08D7" w:rsidRDefault="007D08D7" w:rsidP="00B90D81">
      <w:pPr>
        <w:pStyle w:val="LutE-LvL3-Heading"/>
      </w:pPr>
      <w:r>
        <w:lastRenderedPageBreak/>
        <w:t>Die Rollout-Phase ist mit erfolgreichem Umbau und Abnahme aller Fahrzeuge abgeschlossen.</w:t>
      </w:r>
    </w:p>
    <w:p w14:paraId="399E2A73" w14:textId="433AC743" w:rsidR="002D021F" w:rsidRPr="00D12263" w:rsidRDefault="00D0026B" w:rsidP="00E36EDE">
      <w:pPr>
        <w:pStyle w:val="LutE-LvL2-Heading"/>
        <w:keepNext/>
      </w:pPr>
      <w:r>
        <w:t>Servicephase</w:t>
      </w:r>
    </w:p>
    <w:p w14:paraId="42FF89FA" w14:textId="2615B609" w:rsidR="00CA2BD5" w:rsidRPr="00D12263" w:rsidRDefault="00D0026B" w:rsidP="00E36EDE">
      <w:pPr>
        <w:pStyle w:val="LutE-LvL3-Heading"/>
        <w:keepNext/>
        <w:ind w:left="1134"/>
      </w:pPr>
      <w:r>
        <w:t>Während der Servicephase stellt der AN die Versorgung des AG mit erforderlichen Ersatzgeräten sicher, damit der AG langfristig die in der Präambel beschriebenen Ziele erreichen kann. Die Leistungen des AN umfassen die Lieferung eines Neugeräts. Der Ausbau und Einbau bzw. der Austausch defekter Baugruppen und Bauteile am Fahrzeug erfolgt grundsätzlich durch den AG. Der AN übernimmt keinen Austausch defekter Baugruppen unmittelbar am Fahrzeug, sofern dies nicht im Einzelfall ausdrücklich gesondert schriftlich vereinbart und beauftragt wird.</w:t>
      </w:r>
    </w:p>
    <w:p w14:paraId="451E640B" w14:textId="1BC89E5B" w:rsidR="006A73F8" w:rsidRDefault="006A73F8" w:rsidP="006A73F8">
      <w:pPr>
        <w:pStyle w:val="LutE-LvL1-Heading"/>
      </w:pPr>
      <w:bookmarkStart w:id="5" w:name="_Toc242102367"/>
      <w:r>
        <w:t>Pflichten des Auftragnehmers</w:t>
      </w:r>
      <w:bookmarkEnd w:id="5"/>
    </w:p>
    <w:p w14:paraId="5CA7B4A9" w14:textId="023FC0A0" w:rsidR="00237DA1" w:rsidRDefault="00237DA1" w:rsidP="00237DA1">
      <w:pPr>
        <w:pStyle w:val="LutE-LvL2-Heading"/>
      </w:pPr>
      <w:r>
        <w:t>Als Ergebnis der Realisierungsphase schuldet der AN eine den vereinbarten Leistungsanforderungen des AG und den einschlägigen rechtlichen Bestimmungen sowie dem anerkannten Stand von Wissenschaft und Technik entsprechende Gesamtlösung innerhalb der vereinbarten Termine und Fristen.</w:t>
      </w:r>
    </w:p>
    <w:p w14:paraId="4BBCE39D" w14:textId="77777777" w:rsidR="0063326E" w:rsidRDefault="0063326E" w:rsidP="0063326E">
      <w:pPr>
        <w:pStyle w:val="LutE-LvL2-Heading"/>
      </w:pPr>
      <w:r>
        <w:t>Der AN hat die vom AG übermittelten Leistungsanforderungen, Unterlagen sowie sonstigen Vorgaben zum Leistungsgegenstand darauf zu überprüfen, ob diese fehlerfrei, ausführbar, vollständig und konsistent sind. Vollständig sind die Unterlagen dann, wenn sie in der geforderten Menge und Qualität ohne Lücken oder fehlende Bestandteile vorliegen. Konsistenz bedeutet, dass die Inhalte stimmig, widerspruchsfrei und einheitlich sind. Die Unterlagen müssen einheitlichen Standards entsprechen, nachvollziehbar sein und dürfen keine Widersprüche enthalten.</w:t>
      </w:r>
    </w:p>
    <w:p w14:paraId="40FDA275" w14:textId="7DFD8FCB" w:rsidR="0063326E" w:rsidRDefault="0063326E" w:rsidP="0063326E">
      <w:pPr>
        <w:pStyle w:val="LutE-LvL2-Heading"/>
        <w:numPr>
          <w:ilvl w:val="0"/>
          <w:numId w:val="0"/>
        </w:numPr>
        <w:ind w:left="567"/>
      </w:pPr>
      <w:r>
        <w:t xml:space="preserve">Stellt der AN fest oder erkennt er aufgrund seiner fachlichen Expertise, dass die Leistungsanforderungen, Unterlagen oder sonstigen Vorgaben des AG in nicht unerheblichem Umfang fehlerhaft, unvollständig, widersprüchlich, objektiv nicht umsetzbar oder nicht vertragskonform sind, ist er verpflichtet, den AG hierüber unverzüglich schriftlich oder in Textform zu informieren. Eine Leistung gilt als objektiv nicht ausführbar, wenn sie nicht nur vom AN, sondern allgemein von niemandem erbracht werden kann. </w:t>
      </w:r>
    </w:p>
    <w:p w14:paraId="152D6530" w14:textId="4B33141A" w:rsidR="0063326E" w:rsidRDefault="0063326E" w:rsidP="0063326E">
      <w:pPr>
        <w:pStyle w:val="LutE-LvL2-Heading"/>
        <w:numPr>
          <w:ilvl w:val="1"/>
          <w:numId w:val="10"/>
        </w:numPr>
      </w:pPr>
      <w:r>
        <w:t>Der AN hat bei der Leistungsausführung die geltenden betrieblichen Vorschriften des AG (bspw. Arbeitssicherheits- und Gesundheitsschutzvorschriften, Sicherheitsvorschriften und Besonderheiten der jeweiligen Standorte des AG) einzuhalten. Vor Beginn der Leistung erfolgt eine dokumentierte Belehrung des Beauftragten des AN durch den Beauftragten des AG.</w:t>
      </w:r>
    </w:p>
    <w:p w14:paraId="7DE8F957" w14:textId="729DC7CD" w:rsidR="0063326E" w:rsidRPr="0063326E" w:rsidRDefault="0063326E" w:rsidP="00B90D81">
      <w:pPr>
        <w:pStyle w:val="LutE-LvL2-Heading"/>
        <w:numPr>
          <w:ilvl w:val="1"/>
          <w:numId w:val="10"/>
        </w:numPr>
      </w:pPr>
      <w:r>
        <w:lastRenderedPageBreak/>
        <w:t>Ergänzend zu Ziffer 5.3 sind sämtliche Mitarbeitenden des AN, die einen Betriebshof des AG zur Leistungserbringung betreten, vorab durch den AG einzuweisen und zu den zu beachtenden Vorschriften zu belehren. Mitarbeitende, die diese Unterweisung noch nicht erhalten haben, sind dem AG spätestens zwei Wochen vor ihrem geplanten Ersteinsatz anzuzeigen. Der AG unterbreitet daraufhin geeignete Terminvorschläge für die Durchführung der Unterweisung. Kann kein rechtzeitiger Termin vereinbart werden, ist ein Einsatz des betreffenden Mitarbeitenden ausgeschlossen. In diesem Fall hat der AN sicherzustellen, dass ein bereits geschulter Mitarbeitender zur Verfügung steht.</w:t>
      </w:r>
    </w:p>
    <w:p w14:paraId="27296F03" w14:textId="2916076B" w:rsidR="006A73F8" w:rsidRDefault="006A73F8" w:rsidP="00237DA1">
      <w:pPr>
        <w:pStyle w:val="LutE-LvL2-Heading"/>
      </w:pPr>
      <w:r>
        <w:t>Der AN darf nur Baugruppen, Bauteile, Hard- oder Software einsetzen oder liefern, die dem Stand der Technik entsprechen und die Funktion, Sicherheit, Zulassung und Kompatibilität der Fahrzeuge und Systeme nicht beeinträchtigen. Hierbei sind die Bestimmungen der Leistungsbeschreibung insbesondere zu beachten. Technische Änderungen bedürfen der vorherigen schriftlichen Zustimmung des AG.</w:t>
      </w:r>
    </w:p>
    <w:p w14:paraId="27D95233" w14:textId="43E2F9C3" w:rsidR="0063326E" w:rsidRPr="0063326E" w:rsidRDefault="0063326E" w:rsidP="00B90D81">
      <w:pPr>
        <w:pStyle w:val="LutE-LvL2-Heading"/>
      </w:pPr>
      <w:r>
        <w:t>Für seine Leistungen ist der AN zur Einhaltung der einschlägigen gesetzlichen und behördlichen Vorgaben verpflichtet. Sollte der AG eine Anforderung stellen, welche diesen Vorgaben widerspricht, hat der AN den AG unverzüglich und schriftlich darüber zu informieren.</w:t>
      </w:r>
    </w:p>
    <w:p w14:paraId="73D665E6" w14:textId="59D0C26C" w:rsidR="0063326E" w:rsidRDefault="0063326E" w:rsidP="0063326E">
      <w:pPr>
        <w:pStyle w:val="LutE-LvL2-Heading"/>
      </w:pPr>
      <w:r>
        <w:t>Der AN hat sicherzustellen, dass dem AG das für Nutzung, Administration, Wartung und Pflege der Gesamtlösung erforderliche Wissen vermittelt wird. Hierzu gehört insbesondere die Durchführung der vereinbarten Schulungen.</w:t>
      </w:r>
    </w:p>
    <w:p w14:paraId="41482AED" w14:textId="4007F8BC" w:rsidR="0063326E" w:rsidRDefault="0063326E" w:rsidP="0063326E">
      <w:pPr>
        <w:pStyle w:val="LutE-LvL2-Heading"/>
      </w:pPr>
      <w:r>
        <w:t xml:space="preserve">Der AN ist zur Einhaltung des </w:t>
      </w:r>
      <w:r>
        <w:rPr>
          <w:b/>
          <w:bCs/>
        </w:rPr>
        <w:t>Lieferantenkodex (Code of Conduct)</w:t>
      </w:r>
      <w:r>
        <w:t xml:space="preserve"> verpflichtet, welcher diesem Vertrag als Anlage 06 angefügt ist. </w:t>
      </w:r>
    </w:p>
    <w:p w14:paraId="47FB780F" w14:textId="77777777" w:rsidR="0063326E" w:rsidRPr="00114E1D" w:rsidRDefault="0063326E" w:rsidP="0063326E">
      <w:pPr>
        <w:pStyle w:val="LutE-LvL2-Heading"/>
      </w:pPr>
      <w:r>
        <w:t>Erkennt der AN, dass vereinbarte Fristen oder Termine voraussichtlich nicht eingehalten werden können, ist er verpflichtet, den AG hierüber unverzüglich schriftlich oder in Textform zu unterrichten. Die Mitteilung hat die erkennbaren Ursachen der Verzögerung sowie deren voraussichtliche Dauer zu enthalten.</w:t>
      </w:r>
    </w:p>
    <w:p w14:paraId="1539BD34" w14:textId="77777777" w:rsidR="0063326E" w:rsidRPr="00FE5248" w:rsidRDefault="0063326E" w:rsidP="0063326E">
      <w:pPr>
        <w:pStyle w:val="LutE-LvL2-Heading"/>
      </w:pPr>
      <w:r>
        <w:t xml:space="preserve">Der AN darf Beistellungen und sonstige Materialien des AG ausschließlich zur Durchführung des Vertrags nutzen. Dabei sind die vom AG mitgeteilten </w:t>
      </w:r>
      <w:r>
        <w:rPr>
          <w:b/>
          <w:bCs/>
        </w:rPr>
        <w:t>Nutzungsbeschränkungen</w:t>
      </w:r>
      <w:r>
        <w:t xml:space="preserve"> zwingend zu beachten.</w:t>
      </w:r>
    </w:p>
    <w:p w14:paraId="631C40FD" w14:textId="77777777" w:rsidR="0063326E" w:rsidRPr="004C1CE7" w:rsidRDefault="0063326E" w:rsidP="0063326E">
      <w:pPr>
        <w:pStyle w:val="LutE-LvL2-Heading"/>
      </w:pPr>
      <w:r>
        <w:t xml:space="preserve">Soweit der AG verpflichtet ist, für die Nutzung der Leistungen des AN behördliche Zulassungen, Freigaben oder Genehmigungen (z. B. Betriebsgenehmigungen für geänderte Fahrzeuge) einzuholen, hat der AN den AG hierbei in angemessenem Umfang zu unterstützen. Insbesondere hat der AN die für seine Leistungen erforderlichen Dokumentationen, Zertifikate, Prüfnachweise sowie sonstigen Unterlagen bereitzustellen </w:t>
      </w:r>
      <w:r>
        <w:lastRenderedPageBreak/>
        <w:t>oder zu erstellen, die zur Erlangung der jeweiligen behördlichen Zulassung oder Genehmigung benötigt werden. Darüber hinaus unterstützt der AN den AG bei der Erstellung entsprechender Anträge sowie bei der Kommunikation mit den zuständigen Behörden.</w:t>
      </w:r>
    </w:p>
    <w:p w14:paraId="4DF62697" w14:textId="77777777" w:rsidR="0063326E" w:rsidRPr="00BE714F" w:rsidRDefault="0063326E" w:rsidP="0063326E">
      <w:pPr>
        <w:pStyle w:val="LutE-LvL2-Heading"/>
      </w:pPr>
      <w:r>
        <w:t>Der AN hat sicherzustellen, dass von ihm zu liefernde oder zu implementierende Software vor der Lieferung bzw. Implementierung mittels aktueller Virenschutzprogramme auf Schadsoftware überprüft wird. Es darf ausschließlich Software bereitgestellt und implementiert werden, die frei von Schadsoftware ist.</w:t>
      </w:r>
    </w:p>
    <w:p w14:paraId="06E895C9" w14:textId="77777777" w:rsidR="0063326E" w:rsidRPr="00BE714F" w:rsidRDefault="0063326E" w:rsidP="0063326E">
      <w:pPr>
        <w:pStyle w:val="LutE-LvL2-Heading"/>
      </w:pPr>
      <w:r>
        <w:t>Der AN ist verpflichtet, mit sonstigen Dienstleistern und Vertragspartnern des AG, deren Leistungen oder Tätigkeiten Einfluss auf die eigene Leistungserbringung haben, kooperativ und vertrauensvoll zusammenzuarbeiten. Dies gilt insbesondere für erforderliche Abstimmungen, etwa in Bezug auf Schnittstellen oder Terminplanungen.</w:t>
      </w:r>
    </w:p>
    <w:p w14:paraId="728548C3" w14:textId="77777777" w:rsidR="007D08D7" w:rsidRPr="00004075" w:rsidRDefault="007D08D7" w:rsidP="00ED1311">
      <w:pPr>
        <w:pStyle w:val="LutE-LvL2-Heading"/>
        <w:keepNext/>
      </w:pPr>
      <w:r>
        <w:t>Dokumentation</w:t>
      </w:r>
    </w:p>
    <w:p w14:paraId="422DC845" w14:textId="66E9B77F" w:rsidR="007D08D7" w:rsidRPr="00D12263" w:rsidRDefault="007D08D7" w:rsidP="00ED1311">
      <w:pPr>
        <w:keepNext/>
        <w:ind w:left="567"/>
        <w:jc w:val="both"/>
        <w:rPr>
          <w:rFonts w:cs="Arial"/>
          <w:sz w:val="22"/>
          <w:lang w:val="de-DE"/>
        </w:rPr>
      </w:pPr>
      <w:r>
        <w:rPr>
          <w:rFonts w:cs="Arial"/>
          <w:sz w:val="22"/>
          <w:lang w:val="de-DE"/>
        </w:rPr>
        <w:t>Der AN stellt dem AG alle für Betrieb, Einbau, Ausbau, Wartung, Reparatur, Prüfung und Ersatzteilversorgung notwendigen Unterlagen zur Verfügung. Die Unterlagen sind dem AG grundsätzlich in digitaler, durchsuchbarer PDF-Version bereitzustellen. Auf Anforderung des AG sind verfügbare, bearbeitbare Ursprungsformate, Stücklisten, Zeichnungen oder weitere technische Nachweise zur Verfügung zu stellen, soweit diese für die Nutzung und Pflege der Gesamtlösung erforderlich sind.</w:t>
      </w:r>
    </w:p>
    <w:p w14:paraId="7168D335" w14:textId="2F317807" w:rsidR="007D08D7" w:rsidRPr="00D12263" w:rsidRDefault="007D08D7" w:rsidP="00B90D81">
      <w:pPr>
        <w:ind w:firstLine="567"/>
        <w:rPr>
          <w:rFonts w:cs="Arial"/>
          <w:sz w:val="22"/>
        </w:rPr>
      </w:pPr>
      <w:r>
        <w:rPr>
          <w:rFonts w:cs="Arial"/>
          <w:sz w:val="22"/>
        </w:rPr>
        <w:t>Dazu gehören insbesondere:</w:t>
      </w:r>
    </w:p>
    <w:p w14:paraId="5D7B97C8" w14:textId="669CEDF1"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technische Beschreibungen (Funktionsbeschreibungen)</w:t>
      </w:r>
    </w:p>
    <w:p w14:paraId="697AB37D"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Ersatzteillisten</w:t>
      </w:r>
    </w:p>
    <w:p w14:paraId="2344A877"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Schnittstellenbeschreibungen</w:t>
      </w:r>
    </w:p>
    <w:p w14:paraId="1BFF9FD8"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Einbau- und Ausbauanweisungen</w:t>
      </w:r>
    </w:p>
    <w:p w14:paraId="38A3E74D"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Prüf- und Instandsetzungsanweisungen</w:t>
      </w:r>
    </w:p>
    <w:p w14:paraId="02ED59E8"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Wartungs- und Servicedokumentationen</w:t>
      </w:r>
    </w:p>
    <w:p w14:paraId="669EC018"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Softwarestände, sofern zutreffend</w:t>
      </w:r>
    </w:p>
    <w:p w14:paraId="733C3601"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Obsoleszenz- und Änderungshinweise</w:t>
      </w:r>
    </w:p>
    <w:p w14:paraId="67F0BAAC" w14:textId="77777777" w:rsidR="007D08D7" w:rsidRPr="00B90D81" w:rsidRDefault="007D08D7" w:rsidP="00B90D81">
      <w:pPr>
        <w:pStyle w:val="Listenabsatz"/>
        <w:numPr>
          <w:ilvl w:val="0"/>
          <w:numId w:val="31"/>
        </w:numPr>
        <w:rPr>
          <w:rFonts w:eastAsiaTheme="minorHAnsi"/>
          <w:sz w:val="22"/>
          <w:lang w:val="de-DE"/>
        </w:rPr>
      </w:pPr>
      <w:r>
        <w:rPr>
          <w:rFonts w:eastAsiaTheme="minorHAnsi"/>
          <w:sz w:val="22"/>
          <w:lang w:val="de-DE"/>
        </w:rPr>
        <w:t>Konformitäts- und Prüfnachweise, sofern erforderlich</w:t>
      </w:r>
    </w:p>
    <w:p w14:paraId="1936517F" w14:textId="17D665CF" w:rsidR="007D08D7" w:rsidRDefault="007D08D7" w:rsidP="00B90D81">
      <w:pPr>
        <w:pStyle w:val="LutE-LvL2-Heading"/>
        <w:numPr>
          <w:ilvl w:val="0"/>
          <w:numId w:val="0"/>
        </w:numPr>
        <w:ind w:left="567"/>
      </w:pPr>
      <w:r>
        <w:t>Alle Unterlagen müssen eindeutig der jeweiligen Baugruppe, dem jeweiligen Bauteil oder dem jeweiligen System zugeordnet sein. Änderungen an Dokumentationen sind dem AG unaufgefordert in aktueller Fassung bereitzustellen.</w:t>
      </w:r>
    </w:p>
    <w:p w14:paraId="3FC9B0A7" w14:textId="537275AE" w:rsidR="007D08D7" w:rsidRDefault="007D08D7" w:rsidP="00B90D81">
      <w:pPr>
        <w:pStyle w:val="LutE-LvL2-Heading"/>
        <w:numPr>
          <w:ilvl w:val="0"/>
          <w:numId w:val="0"/>
        </w:numPr>
        <w:ind w:left="567"/>
      </w:pPr>
      <w:r>
        <w:t>Der AN unterstützt den AG bei Bedarf durch technische Hinweise, Einbauanweisungen, Prüfvorgaben, Fehleranalysen oder sonstige fachliche Unterstützung.</w:t>
      </w:r>
    </w:p>
    <w:p w14:paraId="18F2BBDC" w14:textId="45BAAE27" w:rsidR="0063326E" w:rsidRDefault="00414585" w:rsidP="0063326E">
      <w:pPr>
        <w:pStyle w:val="LutE-LvL1-Heading"/>
      </w:pPr>
      <w:bookmarkStart w:id="6" w:name="_Toc242102368"/>
      <w:r>
        <w:lastRenderedPageBreak/>
        <w:t>Versorgung des AG mit Ersatzgeräten</w:t>
      </w:r>
      <w:bookmarkEnd w:id="6"/>
    </w:p>
    <w:p w14:paraId="4D416CB9" w14:textId="2CBE629A" w:rsidR="002F2476" w:rsidRPr="00DA087A" w:rsidRDefault="002F2476" w:rsidP="002F2476">
      <w:pPr>
        <w:pStyle w:val="LutE-LvL2-Heading"/>
        <w:rPr>
          <w:rFonts w:cstheme="minorHAnsi"/>
        </w:rPr>
      </w:pPr>
      <w:r>
        <w:t xml:space="preserve">Der AN verpflichtet sich bis zum 31.12.2045 zur Versorgung des AG mit sämtlichen für die Fahrzeuge erforderlichen Türsteuergeräten im Fall eines Ausfalls eines bereits verbauten Gerätes (nachfolgend „Ersatzgeräte“ genannt). </w:t>
      </w:r>
    </w:p>
    <w:p w14:paraId="0D3213E6" w14:textId="77777777" w:rsidR="006B5F1B" w:rsidRDefault="0063326E" w:rsidP="006B5F1B">
      <w:pPr>
        <w:pStyle w:val="LutE-LvL2-Heading"/>
      </w:pPr>
      <w:r>
        <w:t xml:space="preserve">Der AN richtet zu Beginn der Servicephase auf eigene Kosten und Gefahr an einem eigenen geeigneten Standort ein Lager ein, um eine schnelle Versorgung des AG mit Ersatzgeräten sicherzustellen. In dem Lager hält der AN die Sachen stets in ausreichendem Umfang vor, um im Rahmen der Servicephase geschuldete Gewährleistung zeitnah und innerhalb der vereinbarten Service Level gem. Anlage 03 erbringen zu können und Nachkäufe des AG erfüllen zu können. Die eingelagerten Sachen bleiben bis zum Verbrauch im Eigentum des AN und der AN ist für die ordnungsgemäße Einlagerung, Verwahrung, Versicherung und sonstige Maßnahmen zum Schutz der eingelagerten Sachen verantwortlich. Der Eigentumsübergang und die Einräumung von Nutzungsrechten an den eingelagerten Sachen richten sich nach Ziffer 13 des Vertrags. Der AG hat hinsichtlich der eingelagerten Sachen keine Prüf-, Rüge- und Kontrollpflichten. Etwaige Prüf-Rüge- oder Abnahmepflichten des AG im Rahmen der Auslieferung der eingelagerten Sachen an den AG richten sich nach den entsprechenden Bestimmungen dieses Vertrags. Bei Vertragsende noch im Lager befindliche eingelagerte Ware verbleibt beim AN und wird vom AG nicht vergütet. </w:t>
      </w:r>
    </w:p>
    <w:p w14:paraId="5DC59C23" w14:textId="6B8439AF" w:rsidR="00B1180D" w:rsidRPr="00B1180D" w:rsidRDefault="006B5F1B" w:rsidP="001A4152">
      <w:pPr>
        <w:pStyle w:val="LutE-LvL2-Heading"/>
      </w:pPr>
      <w:r>
        <w:t>Die Bereitstellung von Ersatzgeräten für während der Gewährleistungszeit ausgefallene Türsteuergeräte richtet sich nach Anlage 03 dieses Vertrages. Für Türsteuergeräte, die nach Ablauf der Gewährleistungszeit ausfallen, hat der Auftragnehmer innerhalb von 10 Werktagen nach Zugang der Bestellung des Auftraggebers ein Ersatzgerät zu liefern.</w:t>
      </w:r>
    </w:p>
    <w:p w14:paraId="3B4B8579" w14:textId="4EC673A4" w:rsidR="00CB7ADA" w:rsidRDefault="0063326E" w:rsidP="00B90D81">
      <w:pPr>
        <w:pStyle w:val="LutE-LvL2-Heading"/>
      </w:pPr>
      <w:r>
        <w:t>Eine Abkündigung, d. h. die Einstellung des weiteren Vertriebs von Produkten oder Produktbestandteilen hat der AN dem AG mit einem Vorlauf von mindestens sechs (6) Monaten schriftlich anzukündigen (Abkündigungsmitteilung). Die Verpflichtung zur Erbringung von Serviceleistungen gilt auch für abgekündigte Produkte und Produktbestandteile. Der AN ist jedoch berechtigt, nach Abkündigung des betroffenen Produkts oder Produktbestandteils ohne Mehrkosten für den AG ein kompatibles Nachfolgemodell zu liefern.</w:t>
      </w:r>
    </w:p>
    <w:p w14:paraId="79BED0B7" w14:textId="76F51EF2" w:rsidR="006A73F8" w:rsidRDefault="00CB7ADA" w:rsidP="00B90D81">
      <w:pPr>
        <w:pStyle w:val="LutE-LvL2-Heading"/>
      </w:pPr>
      <w:r>
        <w:t>Der AN hat sicherzustellen, dass durch Produktabkündigungen, Lieferkettenänderungen oder technische Weiterentwicklungen keine Einschränkung der Betriebsfähigkeit der Fahrzeuge entsteht.</w:t>
      </w:r>
    </w:p>
    <w:p w14:paraId="7351702E" w14:textId="458B0ADC" w:rsidR="00AC7020" w:rsidRPr="001A4152" w:rsidRDefault="00AC7020" w:rsidP="001A4152">
      <w:pPr>
        <w:pStyle w:val="LutE-LvL2-Heading"/>
        <w:numPr>
          <w:ilvl w:val="1"/>
          <w:numId w:val="10"/>
        </w:numPr>
        <w:rPr>
          <w:b/>
        </w:rPr>
      </w:pPr>
      <w:r>
        <w:t xml:space="preserve">Die Vergütung für Ersatzgeräte bestimmt sich nach dem im Preisblatt (Anlage 02) festgelegten Preis. </w:t>
      </w:r>
    </w:p>
    <w:p w14:paraId="0859D7A7" w14:textId="024132A1" w:rsidR="002D021F" w:rsidRPr="00D12263" w:rsidRDefault="0087228C" w:rsidP="00D12263">
      <w:pPr>
        <w:pStyle w:val="LutE-LvL1-Heading"/>
        <w:rPr>
          <w:rFonts w:cs="Arial"/>
        </w:rPr>
      </w:pPr>
      <w:bookmarkStart w:id="7" w:name="_Toc242102369"/>
      <w:r>
        <w:rPr>
          <w:rFonts w:cs="Arial"/>
        </w:rPr>
        <w:lastRenderedPageBreak/>
        <w:t>Nachunternehmer</w:t>
      </w:r>
      <w:bookmarkEnd w:id="7"/>
    </w:p>
    <w:p w14:paraId="00DABD82" w14:textId="3D3D3887" w:rsidR="00CA3936" w:rsidRDefault="00CA3936" w:rsidP="00CA3936">
      <w:pPr>
        <w:pStyle w:val="LutE-LvL2-Heading"/>
      </w:pPr>
      <w:r>
        <w:t>Der AN trägt für sämtliche von ihm geschuldeten vertraglichen Leistungen gegenüber dem AG die Alleinverantwortung.</w:t>
      </w:r>
    </w:p>
    <w:p w14:paraId="2D845DF1" w14:textId="25FBD8AB" w:rsidR="00CA3936" w:rsidRPr="00971760" w:rsidRDefault="00CA3936" w:rsidP="00CA3936">
      <w:pPr>
        <w:pStyle w:val="LutE-LvL2-Heading"/>
      </w:pPr>
      <w:r>
        <w:t>Die Beauftragung von Nachunternehmern (einschließlich freier Mitarbeitender) ist ausschließlich im Rahmen der Bestimmungen dieser Ziffer zulässig. Für deren Leistungen steht der AN in gleichem Umfang ein wie für eigene Leistungen. Der AG erteilt bereits jetzt die Zustimmung zum Einsatz derjenigen Nachunternehmer, die in Anlage 05 unter Angabe von Name, Anschrift und Einsatzbereich konkret benannt sind, beschränkt auf die dort vorgesehenen Tätigkeitsbereiche.</w:t>
      </w:r>
    </w:p>
    <w:p w14:paraId="4A14ADF5" w14:textId="77777777" w:rsidR="00CA3936" w:rsidRPr="00971760" w:rsidRDefault="00CA3936" w:rsidP="00CA3936">
      <w:pPr>
        <w:pStyle w:val="LutE-LvL2-Heading"/>
      </w:pPr>
      <w:r>
        <w:t>Die Hinzuziehung weiterer Nachunternehmer setzt die vorherige schriftliche Zustimmung des AG voraus. Der AG ist berechtigt, diese Zustimmung aus sachlich gerechtfertigten Gründen zu versagen. Ein solcher Grund liegt insbesondere vor, wenn Zweifel an der fachlichen oder wirtschaftlichen Eignung des Nachunternehmers bestehen oder wenn die Einhaltung vertraglicher Anforderungen, etwa in den Bereichen Vertraulichkeit, Datenschutz oder Compliance, nicht gewährleistet erscheint. Gleiches gilt bei Vorliegen von Umständen, die gemäß §§ 123, 124 GWB einen Ausschluss im Vergabeverfahren rechtfertigen würden. Der AN hat dem AG sämtliche zur Prüfung erforderlichen Informationen zur Verfügung zu stellen, insbesondere Namen und Anschrift des vorgesehenen Nachunternehmers sowie dessen vorgesehenen Aufgabenbereich.</w:t>
      </w:r>
    </w:p>
    <w:p w14:paraId="16626DD1" w14:textId="77777777" w:rsidR="00CA3936" w:rsidRPr="00971760" w:rsidRDefault="00CA3936" w:rsidP="00CA3936">
      <w:pPr>
        <w:pStyle w:val="LutE-LvL2-Heading"/>
      </w:pPr>
      <w:r>
        <w:t>Erlangt der AG nachträglich Kenntnis von einem Umstand, der eine Versagung der Zustimmung gemäß Ziffer 7.2 gerechtfertigt hätte, ist er berechtigt, die erteilte Zustimmung mit Wirkung für die Zukunft zurückzunehmen. Gleiches gilt, wenn in der Person oder im Verhalten des Nachunternehmers ein wichtiger Grund vorliegt, der den AG zur außerordentlichen Kündigung berechtigen würde. In einem solchen Fall ist dem AN eine angemessene Frist zur Umstellung einzuräumen, die bis zu sechs (6) Monate betragen kann.</w:t>
      </w:r>
    </w:p>
    <w:p w14:paraId="591BAE49" w14:textId="77777777" w:rsidR="00CA3936" w:rsidRPr="00971760" w:rsidRDefault="00CA3936" w:rsidP="00CA3936">
      <w:pPr>
        <w:pStyle w:val="LutE-LvL2-Heading"/>
      </w:pPr>
      <w:r>
        <w:t>Eine Weiterbeauftragung von Subunternehmern durch einen Nachunternehmer ist ausgeschlossen. Dies gilt ausdrücklich auch für mit dem Nachunternehmer verbundene Unternehmen.</w:t>
      </w:r>
    </w:p>
    <w:p w14:paraId="15FA0BAD" w14:textId="1D47DE6B" w:rsidR="00CA3936" w:rsidRDefault="00CA3936" w:rsidP="00CA3936">
      <w:pPr>
        <w:pStyle w:val="LutE-LvL2-Heading"/>
      </w:pPr>
      <w:r>
        <w:t>Der AN hat sicherzustellen, dass sämtliche für den jeweiligen Einsatzbereich relevanten vertraglichen Pflichten auch gegenüber den eingesetzten Nachunternehmern wirksam vereinbart werden. Dies umfasst insbesondere die Verpflichtung zur Durchführung von Einweisungen gemäß Ziffer 5.3</w:t>
      </w:r>
      <w:r>
        <w:rPr>
          <w:b/>
          <w:bCs/>
        </w:rPr>
        <w:t xml:space="preserve"> </w:t>
      </w:r>
      <w:r>
        <w:t xml:space="preserve">dieses Vertrags. Darüber hinaus hat der AN dafür Sorge zu tragen, dass der AG sowie sonstige nach diesem Vertrag berechtigte Stellen ihre Kontroll- </w:t>
      </w:r>
      <w:r>
        <w:lastRenderedPageBreak/>
        <w:t>und Prüfungsrechte uneingeschränkt auch gegenüber den Nachunternehmern ausüben können.</w:t>
      </w:r>
    </w:p>
    <w:p w14:paraId="349EA791" w14:textId="0D73A845" w:rsidR="00CA3936" w:rsidRPr="009471BD" w:rsidRDefault="00CA3936" w:rsidP="00CA3936">
      <w:pPr>
        <w:pStyle w:val="LutE-LvL2-Heading"/>
      </w:pPr>
      <w:r>
        <w:t>Abweichend von den in Ziffer 10 des Vertrags festgelegten Anforderungen sind Nachunternehmer mit weniger als 50 Beschäftigten nicht verpflichtet, über eine Zertifizierung nach DIN EN ISO 9001 oder ein gleichwertiges System, eine Zertifizierung nach ISO 45001 sowie eine Zertifizierung nach DIN EN ISO 14001 zu verfügen. Es genügt, wenn diese Nachunternehmer nachweislich angemessene Standards einhalten, die sich inhaltlich an den Anforderungen der genannten Normen orientieren.</w:t>
      </w:r>
    </w:p>
    <w:p w14:paraId="6B2B7926" w14:textId="5626B7A7" w:rsidR="007F5470" w:rsidRPr="00615EAD" w:rsidRDefault="007F5470" w:rsidP="007F5470">
      <w:pPr>
        <w:pStyle w:val="LutE-LvL1-Heading"/>
        <w:numPr>
          <w:ilvl w:val="0"/>
          <w:numId w:val="10"/>
        </w:numPr>
      </w:pPr>
      <w:bookmarkStart w:id="8" w:name="_Toc238140661"/>
      <w:bookmarkStart w:id="9" w:name="_Toc242102370"/>
      <w:r>
        <w:t xml:space="preserve">Personal </w:t>
      </w:r>
      <w:bookmarkEnd w:id="8"/>
      <w:r>
        <w:t>des Auftragnehmers</w:t>
      </w:r>
      <w:bookmarkEnd w:id="9"/>
    </w:p>
    <w:p w14:paraId="7DD3A7E7" w14:textId="5DF71C8A" w:rsidR="007F5470" w:rsidRPr="00615EAD" w:rsidRDefault="007F5470" w:rsidP="007F5470">
      <w:pPr>
        <w:pStyle w:val="LutE-LvL2-Heading"/>
        <w:numPr>
          <w:ilvl w:val="1"/>
          <w:numId w:val="10"/>
        </w:numPr>
      </w:pPr>
      <w:r>
        <w:rPr>
          <w:rFonts w:cs="Arial"/>
        </w:rPr>
        <w:t xml:space="preserve">Der </w:t>
      </w:r>
      <w:r>
        <w:rPr>
          <w:rStyle w:val="Fett"/>
          <w:rFonts w:cs="Arial"/>
        </w:rPr>
        <w:t>AN</w:t>
      </w:r>
      <w:r>
        <w:rPr>
          <w:rFonts w:cs="Arial"/>
        </w:rPr>
        <w:t xml:space="preserve"> ist verpflichtet, seine Leistungen mit angemessen qualifiziertem und erfahrenem Personal zu erbringen. </w:t>
      </w:r>
      <w:r>
        <w:t>Der AN soll nach Möglichkeit für Kontinuität des verantwortlichen Personals und der benannten Ansprechpartner sorgen.</w:t>
      </w:r>
    </w:p>
    <w:p w14:paraId="30F96885" w14:textId="027F7C9B" w:rsidR="007F5470" w:rsidRDefault="007F5470" w:rsidP="007F5470">
      <w:pPr>
        <w:pStyle w:val="LutE-LvL2-Heading"/>
        <w:numPr>
          <w:ilvl w:val="1"/>
          <w:numId w:val="10"/>
        </w:numPr>
      </w:pPr>
      <w:r>
        <w:t>Der AG kann aus begründetem Anlass den Austausch von Personal des AN verlangen, z. B. wenn eine Person nach Auffassung des AG die vertrauensvolle Zusammenarbeit beeinträchtigt oder sich pflichtwidrig verhält. Die Parteien werden versuchen, eine gütliche Einigung zu finden. Einarbeitungskosten gehen zu Lasten des AN. Im Fall eines berechtigten Austauschverlangens trägt der AN die Kosten der Einarbeitung einer neuen Person.</w:t>
      </w:r>
    </w:p>
    <w:p w14:paraId="2B3D7C27" w14:textId="77777777" w:rsidR="007F5470" w:rsidRPr="00615EAD" w:rsidRDefault="007F5470" w:rsidP="007F5470">
      <w:pPr>
        <w:pStyle w:val="LutE-LvL1-Heading"/>
        <w:numPr>
          <w:ilvl w:val="0"/>
          <w:numId w:val="10"/>
        </w:numPr>
        <w:rPr>
          <w:u w:val="single"/>
        </w:rPr>
      </w:pPr>
      <w:bookmarkStart w:id="10" w:name="_Toc238140659"/>
      <w:bookmarkStart w:id="11" w:name="_Toc242102371"/>
      <w:r>
        <w:t>Ansprechpartner</w:t>
      </w:r>
      <w:bookmarkEnd w:id="10"/>
      <w:bookmarkEnd w:id="11"/>
      <w:r>
        <w:t xml:space="preserve"> </w:t>
      </w:r>
      <w:bookmarkStart w:id="12" w:name="_Toc226114417"/>
      <w:bookmarkEnd w:id="12"/>
    </w:p>
    <w:p w14:paraId="70D0BCBB" w14:textId="62D5CF80" w:rsidR="007F5470" w:rsidRPr="00615EAD" w:rsidRDefault="007F5470" w:rsidP="007F5470">
      <w:pPr>
        <w:pStyle w:val="LutE-LvL2-Heading"/>
        <w:numPr>
          <w:ilvl w:val="1"/>
          <w:numId w:val="10"/>
        </w:numPr>
      </w:pPr>
      <w:r>
        <w:rPr>
          <w:rStyle w:val="LutE-LvL3-HeadingZchn"/>
        </w:rPr>
        <w:t xml:space="preserve">Alle Mitteilungen im Rahmen des Projekts und des Vertrages haben zwingend an </w:t>
      </w:r>
      <w:r>
        <w:rPr>
          <w:rStyle w:val="LutE-LvL3-HeadingZchn"/>
          <w:color w:val="000000" w:themeColor="text1"/>
        </w:rPr>
        <w:t xml:space="preserve">die in der Anlage 07 „Ansprechpartner“ </w:t>
      </w:r>
      <w:r>
        <w:rPr>
          <w:rStyle w:val="LutE-LvL3-HeadingZchn"/>
        </w:rPr>
        <w:t>benannten Ansprechpartner der Parteien zu erfolgen. Mitteilungen an andere Personen gelten – soweit sie nicht zeitgleich den Ansprechpartnern zugehen – als nicht erfolgt.</w:t>
      </w:r>
      <w:r>
        <w:t xml:space="preserve"> </w:t>
      </w:r>
      <w:r>
        <w:rPr>
          <w:rStyle w:val="LutE-LvL3-HeadingZchn"/>
        </w:rPr>
        <w:t>Änderungen bezüglich der Ansprechpartner und etwaige Vertretungsregelungen der Parteien finden sich in der Anlage 07 wieder. Über Veränderungen in den Personen der Ansprechpartner haben die Parteien sich unverzüglich unter Nennung der neuen Ansprechpartner zu informieren. Wechsel in der Projektleitung des AN, die zu Verzögerungen führen, gehen zu dessen Lasten</w:t>
      </w:r>
      <w:r>
        <w:t>.</w:t>
      </w:r>
    </w:p>
    <w:p w14:paraId="360CFC72" w14:textId="024EBC41" w:rsidR="007F5470" w:rsidRPr="007F5470" w:rsidRDefault="001E5581" w:rsidP="007F5470">
      <w:pPr>
        <w:pStyle w:val="LutE-LvL2-Heading"/>
        <w:numPr>
          <w:ilvl w:val="1"/>
          <w:numId w:val="10"/>
        </w:numPr>
      </w:pPr>
      <w:r>
        <w:t>AN und AG haben dafür Sorge zu tragen, die richtigen Ansprechpartner zu benennen und zu pflegen.</w:t>
      </w:r>
    </w:p>
    <w:p w14:paraId="57290D76" w14:textId="2A4D7185" w:rsidR="002D021F" w:rsidRPr="00D12263" w:rsidRDefault="00187CA6" w:rsidP="00D12263">
      <w:pPr>
        <w:pStyle w:val="LutE-LvL1-Heading"/>
        <w:rPr>
          <w:rFonts w:cs="Arial"/>
        </w:rPr>
      </w:pPr>
      <w:bookmarkStart w:id="13" w:name="_Toc242102372"/>
      <w:r>
        <w:lastRenderedPageBreak/>
        <w:t xml:space="preserve">Qualitätsmanagement, </w:t>
      </w:r>
      <w:r>
        <w:rPr>
          <w:rFonts w:cs="Arial"/>
        </w:rPr>
        <w:t>Informationssicherheit, CRA und KRITIS</w:t>
      </w:r>
      <w:bookmarkEnd w:id="13"/>
    </w:p>
    <w:p w14:paraId="1C6DE425" w14:textId="2198CC27" w:rsidR="00187CA6" w:rsidRPr="009471BD" w:rsidRDefault="00187CA6" w:rsidP="00187CA6">
      <w:pPr>
        <w:pStyle w:val="LutE-LvL2-Heading"/>
      </w:pPr>
      <w:r>
        <w:t>Der AN hält für die Dauer der Vertragslaufzeit ein zertifiziertes Qualitätsmanagementsystem vor, das den jeweils aktuellen Anforderungen der DIN EN ISO 9001 entspricht oder ein gleichwertiges, anerkanntes System darstellt.</w:t>
      </w:r>
    </w:p>
    <w:p w14:paraId="3ED61C5C" w14:textId="7DDCB308" w:rsidR="00187CA6" w:rsidRPr="009471BD" w:rsidRDefault="00187CA6" w:rsidP="00B90D81">
      <w:pPr>
        <w:pStyle w:val="LutE-LvL2-Heading"/>
        <w:numPr>
          <w:ilvl w:val="0"/>
          <w:numId w:val="0"/>
        </w:numPr>
        <w:ind w:left="567"/>
      </w:pPr>
      <w:r>
        <w:t>Die Qualitätssicherung erfolgt durch den AN auf Basis standardisierter Prüfpläne, Prüfspezifikationen und Prüfanweisungen; die Durchführung ist dabei einheitlich und nachvollziehbar zu dokumentieren.</w:t>
      </w:r>
    </w:p>
    <w:p w14:paraId="370AC2C0" w14:textId="0FD2F826" w:rsidR="00187CA6" w:rsidRPr="009471BD" w:rsidRDefault="00187CA6" w:rsidP="00187CA6">
      <w:pPr>
        <w:pStyle w:val="LutE-LvL2-Heading"/>
      </w:pPr>
      <w:r>
        <w:t>Während der Vertragslaufzeit hat der AN zudem ein</w:t>
      </w:r>
      <w:r>
        <w:rPr>
          <w:rFonts w:eastAsia="Arial"/>
          <w:sz w:val="21"/>
        </w:rPr>
        <w:t xml:space="preserve"> z</w:t>
      </w:r>
      <w:r>
        <w:t>ertifiziertes Managementsystem für Sicherheit und Gesundheit zu betreiben, das durch eine unabhängige, anerkannte Zertifizierungsstelle nach ISO 45001 oder einem gleichwertigen Standard zertifiziert ist und einen definierten Geltungsbereich umfasst. Der AG kann jederzeit einen Nachweis über das Bestehen einer gültigen Zertifizierung verlangen.</w:t>
      </w:r>
    </w:p>
    <w:p w14:paraId="35FCAF58" w14:textId="3A5707A2" w:rsidR="00187CA6" w:rsidRDefault="00187CA6" w:rsidP="00187CA6">
      <w:pPr>
        <w:pStyle w:val="LutE-LvL2-Heading"/>
      </w:pPr>
      <w:r>
        <w:t xml:space="preserve">Ferner ist der AN verpflichtet, ein zertifiziertes Umweltmanagementsystem zu betreiben, das den Anforderungen der DIN EN ISO 14001 oder eines vergleichbaren Standards entspricht. Ein entsprechender Nachweis ist dem AG auf Verlangen vorzulegen. </w:t>
      </w:r>
    </w:p>
    <w:p w14:paraId="5CF646CD" w14:textId="37CCA506" w:rsidR="002D021F" w:rsidRPr="00D12263" w:rsidRDefault="0087228C" w:rsidP="00004075">
      <w:pPr>
        <w:pStyle w:val="LutE-LvL2-Heading"/>
      </w:pPr>
      <w:r>
        <w:t>Soweit die vertragsgegenständlichen Baugruppen, Bauteile oder Softwarekomponenten digitale Komponenten, Diagnosefunktionen, Schnittstellen oder netzwerkfähige Dienste beinhalten, hat der AN die Anforderungen des Cyber Resilience Act (CRA), Verordnung (EU) 2024/2847, während der gesamten Vertragslaufzeit einzuhalten. Dies umfasst insbesondere die Bereitstellung von Sicherheitsupdates, die unverzügliche Meldung aktiv ausgenutzter Schwachstellen und schwerwiegender Sicherheitsvorfälle sowie die Fortführung der Update-Versorgung für die Vertragslaufzeit.</w:t>
      </w:r>
    </w:p>
    <w:p w14:paraId="6F0705A1" w14:textId="1646ED88" w:rsidR="002D021F" w:rsidRPr="00D12263" w:rsidRDefault="0087228C" w:rsidP="00004075">
      <w:pPr>
        <w:pStyle w:val="LutE-LvL2-Heading"/>
      </w:pPr>
      <w:r>
        <w:t>Der AN stellt dem AG auf Anforderung eine KRITIS-relevante Bewertung gemäß § 3 der Leistungsbeschreibung zur Verfügung und aktualisiert diese bei wesentlichen Änderungen an Diagnosefunktionen, Schnittstellen oder Softwareupdates.</w:t>
      </w:r>
    </w:p>
    <w:p w14:paraId="7B6FE58D" w14:textId="4BB08124" w:rsidR="002D021F" w:rsidRPr="00D12263" w:rsidRDefault="0087228C" w:rsidP="00004075">
      <w:pPr>
        <w:pStyle w:val="LutE-LvL2-Heading"/>
      </w:pPr>
      <w:r>
        <w:t>Werden im Rahmen dieses Vertrages webbasierte Diagnosefunktionen, Fernzugriffe, cloudbasierte Dienste oder vergleichbare digitale Servicefunktionen genutzt, sind diese vorab durch den AG schriftlich freizugeben. Der AN stellt insbesondere Zugriffsrechte, Authentifizierung, Protokollierung, Datenhaltung, Updateprozesse und Patchmanagement dar und gewährleistet die Trennung von Fahrzeug-, Betreiber- und Servicedaten.</w:t>
      </w:r>
    </w:p>
    <w:p w14:paraId="0EC63A00" w14:textId="5ED0A218" w:rsidR="002D021F" w:rsidRDefault="0087228C" w:rsidP="00004075">
      <w:pPr>
        <w:pStyle w:val="LutE-LvL2-Heading"/>
      </w:pPr>
      <w:r>
        <w:t>Sicherheitsrelevante Updates und Patches sind dem AG unverzüglich anzukündigen und dürfen nur nach vorheriger Abstimmung eingespielt werden, soweit sie Funktion, Sicherheit oder Zulassung der Fahrzeuge berühren können (vgl. Ziffer 19).</w:t>
      </w:r>
    </w:p>
    <w:p w14:paraId="36612168" w14:textId="25A0EF8C" w:rsidR="00187CA6" w:rsidRDefault="00187CA6" w:rsidP="00187CA6">
      <w:pPr>
        <w:pStyle w:val="LutE-LvL2-Heading"/>
      </w:pPr>
      <w:r>
        <w:lastRenderedPageBreak/>
        <w:t>Der AN verpflichtet sich, mindestens die DVB-Anforderungen zu ISMS gemäß Anlage 08 zu diesem Vertrag einzuhalten. Von ihm getroffene Sicherheitsmaßnahmen hat der AN angemessen zu dokumentieren und dem AG auf Anforderung nachzuweisen. Er stellt außerdem sicher, dass sein Personal regelmäßig hinsichtlich der Risiken im Bereich Cybersicherheit und Vermeidung/Abwehr derartiger Risiken geschult wird.</w:t>
      </w:r>
    </w:p>
    <w:p w14:paraId="6BA3FC3D" w14:textId="098F382A" w:rsidR="00187CA6" w:rsidRPr="00187CA6" w:rsidRDefault="00187CA6" w:rsidP="00B90D81">
      <w:pPr>
        <w:pStyle w:val="LutE-LvL2-Heading"/>
      </w:pPr>
      <w:r>
        <w:t xml:space="preserve">Der AN unterstützt außerdem den AG bei der Erfüllung der für die kritische Infrastruktur des AG geltenden rechtlichen Anforderungen. Dies umfasst auch die Zusammenarbeit mit zuständigen Behörden, die umgehende Meldung von Sicherheitsvorfällen, die zu einer Beeinträchtigung der Verfügbarkeit, Integrität, Authentizität und Vertraulichkeit der für die Funktionsfähigkeit der betriebenen kritischen Infrastrukturen und maßgeblichen Prozesse des AG führen können, die Unterstützung des AG bei der Erfüllung von dessen Meldepflichten gegenüber dem BSI und anderen zuständigen Behörden und die Teilnahme an vom AG gewünschten Informationsaustauschen. </w:t>
      </w:r>
    </w:p>
    <w:p w14:paraId="70963E0D" w14:textId="48A53AEF" w:rsidR="00187CA6" w:rsidRDefault="00187CA6" w:rsidP="00187CA6">
      <w:pPr>
        <w:pStyle w:val="LutE-LvL2-Heading"/>
      </w:pPr>
      <w:r>
        <w:t>Die Anforderungen an den Schutz kritischer Infrastruktur, ISMS und sonstige Sicherheits-maßnahmen werden sich während der Laufzeit des Vertrags ändern und die technischen Möglichkeiten werden sich weiterentwickeln. Der AG kann vom AN die Einhaltung angemessener geänderter Anforderungen ohne zusätzliche Vergütung verlangen.</w:t>
      </w:r>
    </w:p>
    <w:p w14:paraId="09384B3E" w14:textId="77777777" w:rsidR="00CB7ADA" w:rsidRPr="00812569" w:rsidRDefault="00CB7ADA" w:rsidP="00CB7ADA">
      <w:pPr>
        <w:pStyle w:val="LutE-LvL1-Heading"/>
      </w:pPr>
      <w:bookmarkStart w:id="14" w:name="_Toc234996904"/>
      <w:bookmarkStart w:id="15" w:name="_Toc242102373"/>
      <w:r>
        <w:t>Vergütung</w:t>
      </w:r>
      <w:bookmarkEnd w:id="14"/>
      <w:bookmarkEnd w:id="15"/>
    </w:p>
    <w:p w14:paraId="4FAB43BF" w14:textId="2A129BA3" w:rsidR="00CB7ADA" w:rsidRDefault="00CB7ADA" w:rsidP="00CB7ADA">
      <w:pPr>
        <w:pStyle w:val="LutE-LvL2-Heading"/>
      </w:pPr>
      <w:bookmarkStart w:id="16" w:name="_Ref209198015"/>
      <w:r>
        <w:t>Die Vergütung für die vertraglich geschuldeten Leistungen bestimmt sich nach den im Preisblatt (Anlage 02) festgelegten Preisen. Diese Preise verstehen sich als Gesamtpreise und umfassen sämtliche Nebenleistungen sowie die Einräumung aller nach diesem Vertrag erforderlichen Nutzungsrechte an Arbeitsergebnissen und Leistungen, einschließlich der notwendigen Lizenzen des AN und Dritter.</w:t>
      </w:r>
    </w:p>
    <w:p w14:paraId="7852C606" w14:textId="26E98486" w:rsidR="00CB7ADA" w:rsidRDefault="00CB7ADA" w:rsidP="00CB7ADA">
      <w:pPr>
        <w:pStyle w:val="LutE-LvL2-Heading"/>
      </w:pPr>
      <w:r>
        <w:t>Ergänzende Einzelheiten zu den Preisen sind ebenfalls im Preisblatt (Anlage 02) geregelt. Die vereinbarte Vergütung versteht sich zuzüglich der jeweils zum Zeitpunkt der Leistungserbringung geltenden Umsatzsteuer. Rechnungsempfänger für die beauftragten Leistungen ist der AG.</w:t>
      </w:r>
    </w:p>
    <w:p w14:paraId="1A83C852" w14:textId="678DC705" w:rsidR="00CB7ADA" w:rsidRDefault="00CB7ADA" w:rsidP="00CB7ADA">
      <w:pPr>
        <w:pStyle w:val="LutE-LvL2-Heading"/>
      </w:pPr>
      <w:r>
        <w:t>Mit den im Preisblatt (Anlage 02) aufgeführten Preisen sind sämtliche Aufwendungen des AN für die vertragsgemäße Erbringung der Lieferungen und Leistungen abgegolten. Dies umfasst insbesondere auch Kosten für Verpackung sowie Transport einschließlich etwaiger Versicherungen.</w:t>
      </w:r>
    </w:p>
    <w:p w14:paraId="4CA8BA3F" w14:textId="77777777" w:rsidR="00CB7ADA" w:rsidRDefault="00CB7ADA" w:rsidP="00CB7ADA">
      <w:pPr>
        <w:pStyle w:val="LutE-LvL2-Heading"/>
      </w:pPr>
      <w:r>
        <w:t xml:space="preserve">Soweit eine Abrechnung nach Aufwand erfolgt, wird die Vergütung auf Basis tatsächlich geleisteter Stunden berechnet. Dabei wird höchstens ein Personentag pro eingesetzter </w:t>
      </w:r>
      <w:r>
        <w:lastRenderedPageBreak/>
        <w:t>Person vergütet. Angefangene Stunden werden anteilig berücksichtigt, Pausenzeiten sind nicht vergütungsfähig.</w:t>
      </w:r>
    </w:p>
    <w:p w14:paraId="7FFDCF29" w14:textId="34952031" w:rsidR="00CB7ADA" w:rsidRPr="002F52BC" w:rsidRDefault="001B104E" w:rsidP="00CB7ADA">
      <w:pPr>
        <w:pStyle w:val="LutE-LvL2-Heading"/>
      </w:pPr>
      <w:r>
        <w:t>Leistungen der Realisierungsphase werden abgerechnet und vergütet sobald diese erbracht sind.</w:t>
      </w:r>
      <w:r>
        <w:rPr>
          <w:rFonts w:eastAsia="Times New Roman" w:cs="Times New Roman"/>
        </w:rPr>
        <w:t xml:space="preserve"> Eine Leistung gilt als erbracht, wenn für diese die jeweilige Freigabe, bzw. im Fall der Türsteuergeräte die Abnahme durch den AG erteilt worden ist. Abweichend hiervon erfolgt die Abrechnung der Leistungen gem. Abschnitt 2 des Preisblattes (Anlage 02) nach den Bestimmungen von Ziffer 12.3.</w:t>
      </w:r>
    </w:p>
    <w:p w14:paraId="470154A6" w14:textId="623B73D7" w:rsidR="00CB7ADA" w:rsidRDefault="00CB7ADA" w:rsidP="00CB7ADA">
      <w:pPr>
        <w:pStyle w:val="LutE-LvL2-Heading"/>
        <w:numPr>
          <w:ilvl w:val="0"/>
          <w:numId w:val="0"/>
        </w:numPr>
        <w:ind w:left="567"/>
      </w:pPr>
      <w:r>
        <w:t xml:space="preserve">Leistungen der Servicephase für den Austausch defekter Türsteuergeräte nach Ablauf der Gewährleistungsfrist sind nach Anfall zu bezahlen. </w:t>
      </w:r>
    </w:p>
    <w:p w14:paraId="1B023190" w14:textId="557453BC" w:rsidR="00EF2E3B" w:rsidRDefault="00EF2E3B" w:rsidP="00EF2E3B">
      <w:pPr>
        <w:pStyle w:val="LutE-LvL2-Heading"/>
      </w:pPr>
      <w:r>
        <w:t>Preisgleitregelung</w:t>
      </w:r>
    </w:p>
    <w:p w14:paraId="0C8BB1DF" w14:textId="0B2C6181" w:rsidR="00EF2E3B" w:rsidRPr="00EF2E3B" w:rsidRDefault="00EF2E3B" w:rsidP="00B90D81">
      <w:pPr>
        <w:pStyle w:val="LutE-LvL2-Heading"/>
        <w:numPr>
          <w:ilvl w:val="0"/>
          <w:numId w:val="0"/>
        </w:numPr>
        <w:ind w:left="567"/>
      </w:pPr>
      <w:r>
        <w:t>Für zu verbauende Türsteuergeräte kann jede Vertragspartei erstmals nach Ablauf von 36 Monaten ab Vertragsschluss dieses Vertrags und anschließend jeweils einmal jährlich eine Anpassung der Vergütung verlangen, sofern sich der maßgebliche Preisindex gegenüber dem für das Vorjahr maßgeblichen Indexwert verändert hat. Die Preisanpassung hat die Partei, die sie beansprucht, gegenüber der anderen Partei schriftlich (Textform ist ausreichend) anzukündigen. Die Preisänderung wird drei (3) Monate nach der Ankündigung wirksam.</w:t>
      </w:r>
    </w:p>
    <w:p w14:paraId="4744A49F" w14:textId="18F5D9CD" w:rsidR="00EF2E3B" w:rsidRDefault="00EF2E3B" w:rsidP="00EF2E3B">
      <w:pPr>
        <w:pStyle w:val="LutE-LvL2-Heading"/>
        <w:numPr>
          <w:ilvl w:val="0"/>
          <w:numId w:val="0"/>
        </w:numPr>
        <w:ind w:left="567"/>
      </w:pPr>
      <w:r>
        <w:t>Die Preisanpassung wird anhand des Erzeugerpreisindexes des Statistischen Bundesamts (Destatis) ermittelt. Dabei gilt:</w:t>
      </w:r>
    </w:p>
    <w:p w14:paraId="6A6A0E1C" w14:textId="078A07A6" w:rsidR="00EF2E3B" w:rsidRDefault="00EF2E3B" w:rsidP="00EF2E3B">
      <w:pPr>
        <w:pStyle w:val="LutE-LvL2-Heading"/>
        <w:numPr>
          <w:ilvl w:val="0"/>
          <w:numId w:val="46"/>
        </w:numPr>
      </w:pPr>
      <w:r>
        <w:t>Anpassung der Kosten für Türsteuergeräte:</w:t>
      </w:r>
    </w:p>
    <w:p w14:paraId="01AC46BB" w14:textId="22984A5C" w:rsidR="00EF2E3B" w:rsidRDefault="00EF2E3B" w:rsidP="00EF2E3B">
      <w:pPr>
        <w:pStyle w:val="LutE-LvL2-Heading"/>
        <w:numPr>
          <w:ilvl w:val="0"/>
          <w:numId w:val="0"/>
        </w:numPr>
        <w:ind w:left="1287"/>
      </w:pPr>
      <w:r>
        <w:t>Für die Neubeschaffung von Hardware (einschließlich Ersatzteilen) erfolgt die Anpassung auf Basis des vom Statistischen Bundesamt veröffentlichten Erzeugerpreisindexes für gewerbliche Produkte, Code: 61241-0005, auf Basis des Indexes GP19-26: Datenverarbeitungsgeräte, elektrische und optische Erzeugnisse.</w:t>
      </w:r>
    </w:p>
    <w:p w14:paraId="628FA2FE" w14:textId="342A8408" w:rsidR="00EF2E3B" w:rsidRPr="004E649B" w:rsidRDefault="00EF2E3B" w:rsidP="00EF2E3B">
      <w:pPr>
        <w:pStyle w:val="LutE-LvL2-Heading"/>
        <w:numPr>
          <w:ilvl w:val="0"/>
          <w:numId w:val="0"/>
        </w:numPr>
        <w:ind w:left="567"/>
      </w:pPr>
      <w:r>
        <w:t>Die Preisanpassung erfolgt auf Basis der Veränderung des jeweiligen Indexes im Vergleich zum Vorjahr. Maßgeblich ist der Durchschnitt der Indexwerte des Vorjahres im Vergleich zum Durchschnitt der Indexwerte des davorliegenden Jahres.</w:t>
      </w:r>
    </w:p>
    <w:p w14:paraId="3B6CD50C" w14:textId="5A8269D1" w:rsidR="00EF2E3B" w:rsidRPr="004F06B7" w:rsidRDefault="00EF2E3B" w:rsidP="00EF2E3B">
      <w:pPr>
        <w:pStyle w:val="LutE-LvL2-Heading"/>
        <w:keepNext/>
        <w:numPr>
          <w:ilvl w:val="0"/>
          <w:numId w:val="0"/>
        </w:numPr>
        <w:ind w:left="567"/>
      </w:pPr>
      <w:r>
        <w:lastRenderedPageBreak/>
        <w:t xml:space="preserve">Es gilt folgende Formel: </w:t>
      </w:r>
    </w:p>
    <w:p w14:paraId="593600FA" w14:textId="7E7128E2" w:rsidR="00EF2E3B" w:rsidRPr="00B90D81" w:rsidRDefault="009619A8" w:rsidP="00EF2E3B">
      <w:pPr>
        <w:keepNext/>
        <w:spacing w:before="240" w:after="240" w:line="276" w:lineRule="auto"/>
        <w:ind w:left="567"/>
        <w:jc w:val="both"/>
        <w:rPr>
          <w:rFonts w:eastAsia="MS Mincho" w:cs="Arial"/>
          <w:lang w:val="de-DE" w:eastAsia="de-DE"/>
        </w:rPr>
      </w:pPr>
      <m:oMath>
        <m:sSub>
          <m:sSubPr>
            <m:ctrlPr>
              <w:rPr>
                <w:rFonts w:ascii="Cambria Math" w:eastAsia="MS Mincho" w:hAnsi="Cambria Math" w:cs="Arial"/>
                <w:i/>
                <w:sz w:val="28"/>
                <w:szCs w:val="28"/>
                <w:lang w:eastAsia="de-DE"/>
              </w:rPr>
            </m:ctrlPr>
          </m:sSubPr>
          <m:e>
            <m:r>
              <w:rPr>
                <w:rFonts w:ascii="Cambria Math" w:eastAsia="MS Mincho" w:hAnsi="Cambria Math" w:cs="Arial"/>
                <w:sz w:val="28"/>
                <w:szCs w:val="28"/>
                <w:lang w:eastAsia="de-DE"/>
              </w:rPr>
              <m:t>V</m:t>
            </m:r>
          </m:e>
          <m:sub>
            <m:r>
              <w:rPr>
                <w:rFonts w:ascii="Cambria Math" w:eastAsia="MS Mincho" w:hAnsi="Cambria Math" w:cs="Arial"/>
                <w:sz w:val="28"/>
                <w:szCs w:val="28"/>
                <w:lang w:eastAsia="de-DE"/>
              </w:rPr>
              <m:t>n</m:t>
            </m:r>
          </m:sub>
        </m:sSub>
        <m:r>
          <w:rPr>
            <w:rFonts w:ascii="Cambria Math" w:eastAsia="MS Mincho" w:hAnsi="Cambria Math" w:cs="Arial"/>
            <w:sz w:val="28"/>
            <w:szCs w:val="28"/>
            <w:lang w:val="de-DE" w:eastAsia="de-DE"/>
          </w:rPr>
          <m:t>=</m:t>
        </m:r>
        <m:sSub>
          <m:sSubPr>
            <m:ctrlPr>
              <w:rPr>
                <w:rFonts w:ascii="Cambria Math" w:eastAsia="MS Mincho" w:hAnsi="Cambria Math" w:cs="Arial"/>
                <w:i/>
                <w:sz w:val="28"/>
                <w:szCs w:val="28"/>
                <w:lang w:eastAsia="de-DE"/>
              </w:rPr>
            </m:ctrlPr>
          </m:sSubPr>
          <m:e>
            <m:r>
              <w:rPr>
                <w:rFonts w:ascii="Cambria Math" w:eastAsia="MS Mincho" w:hAnsi="Cambria Math" w:cs="Arial"/>
                <w:sz w:val="28"/>
                <w:szCs w:val="28"/>
                <w:lang w:eastAsia="de-DE"/>
              </w:rPr>
              <m:t>V</m:t>
            </m:r>
          </m:e>
          <m:sub>
            <m:r>
              <w:rPr>
                <w:rFonts w:ascii="Cambria Math" w:eastAsia="MS Mincho" w:hAnsi="Cambria Math" w:cs="Arial"/>
                <w:sz w:val="28"/>
                <w:szCs w:val="28"/>
                <w:lang w:eastAsia="de-DE"/>
              </w:rPr>
              <m:t>b</m:t>
            </m:r>
          </m:sub>
        </m:sSub>
        <m:r>
          <w:rPr>
            <w:rFonts w:ascii="Cambria Math" w:eastAsia="MS Mincho" w:hAnsi="Cambria Math" w:cs="Arial"/>
            <w:sz w:val="28"/>
            <w:szCs w:val="28"/>
            <w:lang w:val="de-DE" w:eastAsia="de-DE"/>
          </w:rPr>
          <m:t>×</m:t>
        </m:r>
        <m:d>
          <m:dPr>
            <m:ctrlPr>
              <w:rPr>
                <w:rFonts w:ascii="Cambria Math" w:eastAsia="MS Mincho" w:hAnsi="Cambria Math" w:cs="Arial"/>
                <w:i/>
                <w:sz w:val="28"/>
                <w:szCs w:val="28"/>
                <w:lang w:eastAsia="de-DE"/>
              </w:rPr>
            </m:ctrlPr>
          </m:dPr>
          <m:e>
            <m:f>
              <m:fPr>
                <m:ctrlPr>
                  <w:rPr>
                    <w:rFonts w:ascii="Cambria Math" w:eastAsia="MS Mincho" w:hAnsi="Cambria Math" w:cs="Arial"/>
                    <w:i/>
                    <w:sz w:val="28"/>
                    <w:szCs w:val="28"/>
                    <w:lang w:eastAsia="de-DE"/>
                  </w:rPr>
                </m:ctrlPr>
              </m:fPr>
              <m:num>
                <m:sSub>
                  <m:sSubPr>
                    <m:ctrlPr>
                      <w:rPr>
                        <w:rFonts w:ascii="Cambria Math" w:eastAsia="MS Mincho" w:hAnsi="Cambria Math" w:cs="Arial"/>
                        <w:i/>
                        <w:sz w:val="28"/>
                        <w:szCs w:val="28"/>
                        <w:lang w:eastAsia="de-DE"/>
                      </w:rPr>
                    </m:ctrlPr>
                  </m:sSubPr>
                  <m:e>
                    <m:r>
                      <w:rPr>
                        <w:rFonts w:ascii="Cambria Math" w:eastAsia="MS Mincho" w:hAnsi="Cambria Math" w:cs="Arial"/>
                        <w:sz w:val="28"/>
                        <w:szCs w:val="28"/>
                        <w:lang w:eastAsia="de-DE"/>
                      </w:rPr>
                      <m:t>I</m:t>
                    </m:r>
                  </m:e>
                  <m:sub>
                    <m:r>
                      <w:rPr>
                        <w:rFonts w:ascii="Cambria Math" w:eastAsia="MS Mincho" w:hAnsi="Cambria Math" w:cs="Arial"/>
                        <w:sz w:val="28"/>
                        <w:szCs w:val="28"/>
                        <w:lang w:eastAsia="de-DE"/>
                      </w:rPr>
                      <m:t>VJ</m:t>
                    </m:r>
                  </m:sub>
                </m:sSub>
              </m:num>
              <m:den>
                <m:sSub>
                  <m:sSubPr>
                    <m:ctrlPr>
                      <w:rPr>
                        <w:rFonts w:ascii="Cambria Math" w:eastAsia="MS Mincho" w:hAnsi="Cambria Math" w:cs="Arial"/>
                        <w:i/>
                        <w:sz w:val="28"/>
                        <w:szCs w:val="28"/>
                        <w:lang w:eastAsia="de-DE"/>
                      </w:rPr>
                    </m:ctrlPr>
                  </m:sSubPr>
                  <m:e>
                    <m:r>
                      <w:rPr>
                        <w:rFonts w:ascii="Cambria Math" w:eastAsia="MS Mincho" w:hAnsi="Cambria Math" w:cs="Arial"/>
                        <w:sz w:val="28"/>
                        <w:szCs w:val="28"/>
                        <w:lang w:eastAsia="de-DE"/>
                      </w:rPr>
                      <m:t>I</m:t>
                    </m:r>
                  </m:e>
                  <m:sub>
                    <m:r>
                      <w:rPr>
                        <w:rFonts w:ascii="Cambria Math" w:eastAsia="MS Mincho" w:hAnsi="Cambria Math" w:cs="Arial"/>
                        <w:sz w:val="28"/>
                        <w:szCs w:val="28"/>
                        <w:lang w:eastAsia="de-DE"/>
                      </w:rPr>
                      <m:t>VVJ</m:t>
                    </m:r>
                  </m:sub>
                </m:sSub>
              </m:den>
            </m:f>
          </m:e>
        </m:d>
      </m:oMath>
      <w:r>
        <w:rPr>
          <w:rFonts w:eastAsia="MS Mincho" w:cs="Arial"/>
          <w:sz w:val="28"/>
          <w:szCs w:val="28"/>
          <w:lang w:val="de-DE" w:eastAsia="de-DE"/>
        </w:rPr>
        <w:t xml:space="preserve"> </w:t>
      </w:r>
    </w:p>
    <w:p w14:paraId="07D06BF0" w14:textId="1BEE2C93" w:rsidR="00EF2E3B" w:rsidRPr="00B90D81" w:rsidRDefault="009619A8" w:rsidP="00EF2E3B">
      <w:pPr>
        <w:keepNext/>
        <w:spacing w:before="240" w:after="240" w:line="276" w:lineRule="auto"/>
        <w:ind w:left="567"/>
        <w:jc w:val="both"/>
        <w:rPr>
          <w:rFonts w:eastAsia="MS Mincho" w:cs="Arial"/>
          <w:i/>
          <w:iCs/>
          <w:lang w:val="de-DE" w:eastAsia="de-DE"/>
        </w:rPr>
      </w:pPr>
      <m:oMath>
        <m:sSub>
          <m:sSubPr>
            <m:ctrlPr>
              <w:rPr>
                <w:rFonts w:ascii="Cambria Math" w:eastAsia="MS Mincho" w:hAnsi="Cambria Math" w:cs="Arial"/>
                <w:i/>
                <w:lang w:eastAsia="de-DE"/>
              </w:rPr>
            </m:ctrlPr>
          </m:sSubPr>
          <m:e>
            <m:r>
              <w:rPr>
                <w:rFonts w:ascii="Cambria Math" w:eastAsia="MS Mincho" w:hAnsi="Cambria Math" w:cs="Arial"/>
                <w:lang w:eastAsia="de-DE"/>
              </w:rPr>
              <m:t>V</m:t>
            </m:r>
          </m:e>
          <m:sub>
            <m:r>
              <w:rPr>
                <w:rFonts w:ascii="Cambria Math" w:eastAsia="MS Mincho" w:hAnsi="Cambria Math" w:cs="Arial"/>
                <w:lang w:eastAsia="de-DE"/>
              </w:rPr>
              <m:t>n</m:t>
            </m:r>
          </m:sub>
        </m:sSub>
      </m:oMath>
      <w:r>
        <w:rPr>
          <w:rFonts w:eastAsia="MS Mincho" w:cs="Arial"/>
          <w:lang w:val="de-DE" w:eastAsia="de-DE"/>
        </w:rPr>
        <w:t xml:space="preserve"> </w:t>
      </w:r>
      <w:r>
        <w:rPr>
          <w:rFonts w:eastAsia="MS Mincho" w:cs="Arial"/>
          <w:i/>
          <w:iCs/>
          <w:lang w:val="de-DE" w:eastAsia="de-DE"/>
        </w:rPr>
        <w:t xml:space="preserve">= neuer Preis </w:t>
      </w:r>
    </w:p>
    <w:p w14:paraId="61C985FD" w14:textId="05954630" w:rsidR="00EF2E3B" w:rsidRPr="00B90D81" w:rsidRDefault="009619A8" w:rsidP="00EF2E3B">
      <w:pPr>
        <w:keepNext/>
        <w:spacing w:before="240" w:after="240" w:line="276" w:lineRule="auto"/>
        <w:ind w:left="567"/>
        <w:jc w:val="both"/>
        <w:rPr>
          <w:rFonts w:eastAsia="MS Mincho" w:cs="Arial"/>
          <w:i/>
          <w:iCs/>
          <w:lang w:val="de-DE" w:eastAsia="de-DE"/>
        </w:rPr>
      </w:pPr>
      <m:oMath>
        <m:sSub>
          <m:sSubPr>
            <m:ctrlPr>
              <w:rPr>
                <w:rFonts w:ascii="Cambria Math" w:eastAsia="MS Mincho" w:hAnsi="Cambria Math"/>
                <w:i/>
                <w:lang w:eastAsia="de-DE"/>
              </w:rPr>
            </m:ctrlPr>
          </m:sSubPr>
          <m:e>
            <m:r>
              <w:rPr>
                <w:rFonts w:ascii="Cambria Math" w:eastAsia="MS Mincho" w:hAnsi="Cambria Math"/>
                <w:lang w:eastAsia="de-DE"/>
              </w:rPr>
              <m:t>V</m:t>
            </m:r>
          </m:e>
          <m:sub>
            <m:r>
              <w:rPr>
                <w:rFonts w:ascii="Cambria Math" w:eastAsia="MS Mincho" w:hAnsi="Cambria Math"/>
                <w:lang w:eastAsia="de-DE"/>
              </w:rPr>
              <m:t>b</m:t>
            </m:r>
          </m:sub>
        </m:sSub>
      </m:oMath>
      <w:r>
        <w:rPr>
          <w:rFonts w:eastAsia="MS Mincho" w:cs="Arial"/>
          <w:lang w:val="de-DE" w:eastAsia="de-DE"/>
        </w:rPr>
        <w:t xml:space="preserve"> </w:t>
      </w:r>
      <w:r>
        <w:rPr>
          <w:rFonts w:eastAsia="MS Mincho" w:cs="Arial"/>
          <w:i/>
          <w:iCs/>
          <w:lang w:val="de-DE" w:eastAsia="de-DE"/>
        </w:rPr>
        <w:t>= bisheriger Preis</w:t>
      </w:r>
    </w:p>
    <w:p w14:paraId="0B2636C5" w14:textId="248A5624" w:rsidR="00EF2E3B" w:rsidRPr="00B90D81" w:rsidRDefault="009619A8" w:rsidP="00EF2E3B">
      <w:pPr>
        <w:keepNext/>
        <w:spacing w:before="240" w:after="240" w:line="276" w:lineRule="auto"/>
        <w:ind w:left="567"/>
        <w:jc w:val="both"/>
        <w:rPr>
          <w:rFonts w:eastAsia="MS Mincho"/>
          <w:i/>
          <w:iCs/>
          <w:lang w:val="de-DE" w:eastAsia="de-DE"/>
        </w:rPr>
      </w:pPr>
      <m:oMath>
        <m:sSub>
          <m:sSubPr>
            <m:ctrlPr>
              <w:rPr>
                <w:rFonts w:ascii="Cambria Math" w:eastAsia="MS Mincho" w:hAnsi="Cambria Math"/>
                <w:i/>
                <w:lang w:eastAsia="de-DE"/>
              </w:rPr>
            </m:ctrlPr>
          </m:sSubPr>
          <m:e>
            <m:r>
              <w:rPr>
                <w:rFonts w:ascii="Cambria Math" w:eastAsia="MS Mincho" w:hAnsi="Cambria Math"/>
                <w:lang w:eastAsia="de-DE"/>
              </w:rPr>
              <m:t>I</m:t>
            </m:r>
          </m:e>
          <m:sub>
            <m:r>
              <w:rPr>
                <w:rFonts w:ascii="Cambria Math" w:eastAsia="MS Mincho" w:hAnsi="Cambria Math"/>
                <w:lang w:eastAsia="de-DE"/>
              </w:rPr>
              <m:t>VJ</m:t>
            </m:r>
          </m:sub>
        </m:sSub>
      </m:oMath>
      <w:r>
        <w:rPr>
          <w:rFonts w:eastAsia="MS Mincho"/>
          <w:lang w:val="de-DE" w:eastAsia="de-DE"/>
        </w:rPr>
        <w:t xml:space="preserve"> </w:t>
      </w:r>
      <w:r>
        <w:rPr>
          <w:rFonts w:eastAsia="MS Mincho"/>
          <w:i/>
          <w:iCs/>
          <w:lang w:val="de-DE" w:eastAsia="de-DE"/>
        </w:rPr>
        <w:t>= Index aus dem Vorjahr des aktuellen Jahres</w:t>
      </w:r>
    </w:p>
    <w:p w14:paraId="540FE0B5" w14:textId="217C62FC" w:rsidR="00EF2E3B" w:rsidRPr="00B90D81" w:rsidRDefault="009619A8" w:rsidP="00EF2E3B">
      <w:pPr>
        <w:keepNext/>
        <w:spacing w:before="240" w:after="240" w:line="276" w:lineRule="auto"/>
        <w:ind w:left="567"/>
        <w:jc w:val="both"/>
        <w:rPr>
          <w:rFonts w:eastAsia="MS Mincho"/>
          <w:lang w:val="de-DE" w:eastAsia="de-DE"/>
        </w:rPr>
      </w:pPr>
      <m:oMath>
        <m:sSub>
          <m:sSubPr>
            <m:ctrlPr>
              <w:rPr>
                <w:rFonts w:ascii="Cambria Math" w:eastAsia="MS Mincho" w:hAnsi="Cambria Math"/>
                <w:i/>
                <w:lang w:eastAsia="de-DE"/>
              </w:rPr>
            </m:ctrlPr>
          </m:sSubPr>
          <m:e>
            <m:r>
              <w:rPr>
                <w:rFonts w:ascii="Cambria Math" w:eastAsia="MS Mincho" w:hAnsi="Cambria Math"/>
                <w:lang w:eastAsia="de-DE"/>
              </w:rPr>
              <m:t>I</m:t>
            </m:r>
          </m:e>
          <m:sub>
            <m:r>
              <w:rPr>
                <w:rFonts w:ascii="Cambria Math" w:eastAsia="MS Mincho" w:hAnsi="Cambria Math"/>
                <w:lang w:eastAsia="de-DE"/>
              </w:rPr>
              <m:t>VVJ</m:t>
            </m:r>
          </m:sub>
        </m:sSub>
      </m:oMath>
      <w:r>
        <w:rPr>
          <w:rFonts w:eastAsia="MS Mincho"/>
          <w:i/>
          <w:iCs/>
          <w:lang w:val="de-DE" w:eastAsia="de-DE"/>
        </w:rPr>
        <w:t xml:space="preserve"> = Index aus dem Vorjahr von </w:t>
      </w:r>
      <m:oMath>
        <m:sSub>
          <m:sSubPr>
            <m:ctrlPr>
              <w:rPr>
                <w:rFonts w:ascii="Cambria Math" w:eastAsia="MS Mincho" w:hAnsi="Cambria Math"/>
                <w:i/>
                <w:lang w:eastAsia="de-DE"/>
              </w:rPr>
            </m:ctrlPr>
          </m:sSubPr>
          <m:e>
            <m:r>
              <w:rPr>
                <w:rFonts w:ascii="Cambria Math" w:eastAsia="MS Mincho" w:hAnsi="Cambria Math"/>
                <w:lang w:eastAsia="de-DE"/>
              </w:rPr>
              <m:t>I</m:t>
            </m:r>
          </m:e>
          <m:sub>
            <m:r>
              <w:rPr>
                <w:rFonts w:ascii="Cambria Math" w:eastAsia="MS Mincho" w:hAnsi="Cambria Math"/>
                <w:lang w:eastAsia="de-DE"/>
              </w:rPr>
              <m:t>VJ</m:t>
            </m:r>
          </m:sub>
        </m:sSub>
      </m:oMath>
    </w:p>
    <w:p w14:paraId="002C61FD" w14:textId="5554212D" w:rsidR="00EF2E3B" w:rsidRPr="004F06B7" w:rsidRDefault="00EF2E3B" w:rsidP="00EF2E3B">
      <w:pPr>
        <w:pStyle w:val="LutE-LvL2-Heading"/>
        <w:keepNext/>
        <w:numPr>
          <w:ilvl w:val="0"/>
          <w:numId w:val="0"/>
        </w:numPr>
        <w:ind w:left="567"/>
      </w:pPr>
      <w:r>
        <w:t xml:space="preserve">Die Preisanpassung darf maximal 5 % der zum Zeitpunkt der Ankündigung der Preisanpassung geltenden Vergütung betragen. </w:t>
      </w:r>
    </w:p>
    <w:p w14:paraId="58DA5689" w14:textId="1789AC31" w:rsidR="00EF2E3B" w:rsidRPr="00577A87" w:rsidRDefault="00EF2E3B" w:rsidP="00B90D81">
      <w:pPr>
        <w:pStyle w:val="LutE-LvL2-Heading"/>
        <w:keepNext/>
        <w:numPr>
          <w:ilvl w:val="0"/>
          <w:numId w:val="0"/>
        </w:numPr>
        <w:ind w:left="567"/>
      </w:pPr>
      <w:r>
        <w:t xml:space="preserve">Sollte der Index nicht mehr veröffentlicht werden, wird ein möglichst vergleichbarer Index herangezogen. Gibt es einen Nachfolgeindex, sollte dieser herangezogen werden. Die Parteien sollen sich über den dann anwendbaren Index einigen. Kommt innerhalb von sechs (6) Monaten nach dem Vorschlag einer Partei für den Ersatz des weggefallenen Indexes keine Einigung zustande, dann kann der AG einen Index nach billigem Ermessen (§ 315 BGB) bestimmen. </w:t>
      </w:r>
    </w:p>
    <w:p w14:paraId="19194EC8" w14:textId="77777777" w:rsidR="00CB7ADA" w:rsidRPr="00812569" w:rsidRDefault="00CB7ADA" w:rsidP="00CB7ADA">
      <w:pPr>
        <w:pStyle w:val="LutE-LvL1-Heading"/>
      </w:pPr>
      <w:bookmarkStart w:id="17" w:name="_Toc234996905"/>
      <w:bookmarkStart w:id="18" w:name="_Toc242102374"/>
      <w:bookmarkEnd w:id="16"/>
      <w:r>
        <w:t>Zahlungsbedingungen</w:t>
      </w:r>
      <w:bookmarkEnd w:id="17"/>
      <w:bookmarkEnd w:id="18"/>
    </w:p>
    <w:p w14:paraId="7AF00666" w14:textId="77777777" w:rsidR="00CB7ADA" w:rsidRPr="00E426D5" w:rsidRDefault="00CB7ADA" w:rsidP="00CB7ADA">
      <w:pPr>
        <w:pStyle w:val="LutE-LvL2-Heading"/>
      </w:pPr>
      <w:bookmarkStart w:id="19" w:name="_Ref207029892"/>
      <w:bookmarkStart w:id="20" w:name="_Ref207031915"/>
      <w:r>
        <w:t>Voraussetzung für die Zahlung ist sowohl die vertragsgemäße Erbringung der jeweiligen Leistung durch den AN als auch die Vorlage einer ordnungsgemäßen, prüffähigen Rechnung, die den Anforderungen des § 14 UStG entspricht.</w:t>
      </w:r>
    </w:p>
    <w:p w14:paraId="45264F08" w14:textId="03F2B782" w:rsidR="00D61A7D" w:rsidRDefault="00CB7ADA" w:rsidP="00D61A7D">
      <w:pPr>
        <w:pStyle w:val="LutE-LvL2-Heading"/>
      </w:pPr>
      <w:r>
        <w:t xml:space="preserve">Für vergütungsfähige Leistungen stellt der AN jeweils zum Eintreten der Vergütungsfähigkeit eine Rechnung. Etwaige Abzüge, insbesondere aufgrund von Vertragsstrafen wegen Verzugs, sind in der jeweiligen Rechnung zu berücksichtigen und gesondert auszuweisen. </w:t>
      </w:r>
    </w:p>
    <w:p w14:paraId="0F8FA771" w14:textId="218F8F0D" w:rsidR="00D61A7D" w:rsidRPr="00D61A7D" w:rsidRDefault="00731F19" w:rsidP="00D61A7D">
      <w:pPr>
        <w:pStyle w:val="LutE-LvL2-Heading"/>
      </w:pPr>
      <w:r>
        <w:t xml:space="preserve">Die Vergütung der Leistungen gemäß Abschnitt 2 der Anlage 02 (Preisblatt) wird nach Vertragsschluss als Vorauszahlung geleistet. Voraussetzung für die Rechnungsstellung durch den Auftragnehmer ist die Vorlage einer Vorauszahlungsbürgschaft gemäß Ziffer 27.1. </w:t>
      </w:r>
    </w:p>
    <w:p w14:paraId="5CE4E769" w14:textId="11EDE91C" w:rsidR="00CB7ADA" w:rsidRPr="00A10E8A" w:rsidRDefault="00CB7ADA" w:rsidP="00CB7ADA">
      <w:pPr>
        <w:pStyle w:val="LutE-LvL2-Heading"/>
      </w:pPr>
      <w:r>
        <w:t>Die Bezahlung von Rechnungen erfolgt innerhalb 30 Tagen netto nach Rechnungseingang.</w:t>
      </w:r>
    </w:p>
    <w:p w14:paraId="548E91B1" w14:textId="77777777" w:rsidR="00CB7ADA" w:rsidRPr="00E426D5" w:rsidRDefault="00CB7ADA" w:rsidP="00CB7ADA">
      <w:pPr>
        <w:pStyle w:val="LutE-LvL2-Heading"/>
      </w:pPr>
      <w:r>
        <w:t xml:space="preserve">Die Abrechnung hat in nachvollziehbarer und prüfbarer Form zu erfolgen. Hierzu sind die Rechnungen übersichtlich zu gestalten, die vorgegebenen Bezeichnungen zu verwenden und Art sowie Umfang der erbrachten Leistungen durch geeignete, allgemein übliche Nachweise </w:t>
      </w:r>
      <w:r>
        <w:lastRenderedPageBreak/>
        <w:t>zu belegen. Vergütungen für Änderungen oder Erweiterungen sind unter Bezugnahme auf die entsprechenden Vereinbarungen gesondert auszuweisen oder eindeutig kenntlich zu machen.</w:t>
      </w:r>
    </w:p>
    <w:bookmarkEnd w:id="19"/>
    <w:bookmarkEnd w:id="20"/>
    <w:p w14:paraId="264C1C5A" w14:textId="77777777" w:rsidR="00CB7ADA" w:rsidRPr="009200E1" w:rsidRDefault="00CB7ADA" w:rsidP="00CB7ADA">
      <w:pPr>
        <w:pStyle w:val="LutE-LvL2-Heading"/>
      </w:pPr>
      <w:r>
        <w:t>Der AN hat Rechnungen elektronisch, ausschließlich über einen der genannten Übermittlungswege, entweder</w:t>
      </w:r>
    </w:p>
    <w:p w14:paraId="50E87DBD" w14:textId="77777777" w:rsidR="00CB7ADA" w:rsidRPr="009200E1" w:rsidRDefault="00CB7ADA" w:rsidP="00CB7ADA">
      <w:pPr>
        <w:pStyle w:val="LutE-LvL3-Heading"/>
      </w:pPr>
      <w:r>
        <w:t xml:space="preserve">in einem maschinenlesbaren </w:t>
      </w:r>
      <w:proofErr w:type="gramStart"/>
      <w:r>
        <w:t>PDF-Format</w:t>
      </w:r>
      <w:proofErr w:type="gramEnd"/>
      <w:r>
        <w:t xml:space="preserve"> an invoices@dvbag.de - oder</w:t>
      </w:r>
    </w:p>
    <w:p w14:paraId="022C9BB9" w14:textId="77777777" w:rsidR="00CB7ADA" w:rsidRPr="009200E1" w:rsidRDefault="00CB7ADA" w:rsidP="00CB7ADA">
      <w:pPr>
        <w:pStyle w:val="LutE-LvL3-Heading"/>
      </w:pPr>
      <w:r>
        <w:t>über das Lieferantenportal - Coupa Supplier Portal (CSP) - oder</w:t>
      </w:r>
    </w:p>
    <w:p w14:paraId="045EB671" w14:textId="77777777" w:rsidR="00CB7ADA" w:rsidRPr="009200E1" w:rsidRDefault="00CB7ADA" w:rsidP="00CB7ADA">
      <w:pPr>
        <w:pStyle w:val="LutE-LvL3-Heading"/>
      </w:pPr>
      <w:r>
        <w:t>in den Formaten XRechnung und ZUGFeRD entsprechend der DIN-Norm EN 16931 über das TRAFFIQX®- oder Peppol-Netzwerk an die Leitweg-ID 14612000-AE01-68 übermittelt einzureichen.</w:t>
      </w:r>
    </w:p>
    <w:p w14:paraId="4089C34D" w14:textId="00BC03A1" w:rsidR="00CB7ADA" w:rsidRPr="009200E1" w:rsidRDefault="00CB7ADA" w:rsidP="00CB7ADA">
      <w:pPr>
        <w:pStyle w:val="LutE-LvL2-Heading"/>
      </w:pPr>
      <w:r>
        <w:t>Der AG beabsichtigt, sein Rechnungswesen zur Umsetzung der gesetzlichen Anforderungen an den Empfang elektronischer Rechnungen gemäß § 14 UStG i. V. m. § 27 Abs. 38 UStG umzustellen. Der AN verpflichtet sich, spätestens ab dem 01.01.2027 Rechnungen in den in Ziffer 12.6.3 genannten Formaten (XRechnung oder ZUGFeRD gemäß DIN EN 16931) über die dort bezeichneten Übermittlungswege erstellen und übermitteln zu können. Der AG ist berechtigt, ab dem 01.01.2027 die Entgegennahme von Rechnungen auf die in Ziffer 12.6.3 genannten Formate und Übermittlungswege zu beschränken. Der AN hat ab dem Zeitpunkt einer entsprechenden Mitteilung des AG Rechnungen ausschließlich in dieser Form einzureichen.</w:t>
      </w:r>
    </w:p>
    <w:p w14:paraId="00163EED" w14:textId="77777777" w:rsidR="00CB7ADA" w:rsidRPr="00A84D16" w:rsidRDefault="00CB7ADA" w:rsidP="00CB7ADA">
      <w:pPr>
        <w:pStyle w:val="LutE-LvL2-Heading"/>
      </w:pPr>
      <w:r>
        <w:t>Der AG ist berechtigt, Rechnungen zurückzuweisen, sofern diese nicht der vorgegebenen Form entsprechen oder von den vereinbarten Konditionen abweichen.</w:t>
      </w:r>
    </w:p>
    <w:p w14:paraId="7078CC1B" w14:textId="77777777" w:rsidR="00CB7ADA" w:rsidRPr="00A84D16" w:rsidRDefault="00CB7ADA" w:rsidP="00CB7ADA">
      <w:pPr>
        <w:pStyle w:val="LutE-LvL2-Heading"/>
      </w:pPr>
      <w:r>
        <w:t>Die Zahlung von Rechnungen gilt nicht als Anerkennung von abweichenden Konditionen, Preisen oder der Qualität der Leistung.</w:t>
      </w:r>
    </w:p>
    <w:p w14:paraId="653B28FC" w14:textId="77777777" w:rsidR="00CB7ADA" w:rsidRDefault="00CB7ADA" w:rsidP="009D1E8D">
      <w:pPr>
        <w:pStyle w:val="LutE-LvL2-Heading"/>
      </w:pPr>
      <w:r>
        <w:t>Eine Aufrechnung durch den AN mit Forderungen, die vom AG bestritten oder nicht rechtskräftig festgestellt worden sind, ist ausgeschlossen.</w:t>
      </w:r>
    </w:p>
    <w:p w14:paraId="047F8DC2" w14:textId="58550F09" w:rsidR="007F5470" w:rsidRPr="00615EAD" w:rsidRDefault="007F5470" w:rsidP="007F5470">
      <w:pPr>
        <w:pStyle w:val="LutE-LvL1-Heading"/>
        <w:numPr>
          <w:ilvl w:val="0"/>
          <w:numId w:val="10"/>
        </w:numPr>
      </w:pPr>
      <w:bookmarkStart w:id="21" w:name="_Toc242102375"/>
      <w:r>
        <w:t>Rechteeinräumung (Eigentumsrechte an dem Vertragsgegenstand)</w:t>
      </w:r>
      <w:bookmarkEnd w:id="21"/>
    </w:p>
    <w:p w14:paraId="2C6DF42A" w14:textId="5531FF7F" w:rsidR="007F5470" w:rsidRPr="00615EAD" w:rsidRDefault="007F5470" w:rsidP="007F5470">
      <w:pPr>
        <w:pStyle w:val="LutE-LvL2-Heading"/>
        <w:numPr>
          <w:ilvl w:val="1"/>
          <w:numId w:val="10"/>
        </w:numPr>
      </w:pPr>
      <w:r>
        <w:t>Der AN überträgt das Eigentum an Lieferungen und/oder erbrachten Leistungen erst mit der Endabnahme der betreffenden Leistung auf den AG, soweit nicht bereits zu einem früheren Zeitpunkt ein gesetzlicher Eigentumsübergang (§§ 946 f. BGB) erfolgt ist. Ist keine Abnahme vorgesehen erfolgt der Eigentumsübergang für die betroffene Leistung mit Übergabe an den AG.</w:t>
      </w:r>
    </w:p>
    <w:p w14:paraId="20054046" w14:textId="410A2CF9" w:rsidR="007F5470" w:rsidRPr="00E426D5" w:rsidRDefault="007F5470" w:rsidP="007F5470">
      <w:pPr>
        <w:pStyle w:val="LutE-LvL2-Heading"/>
        <w:numPr>
          <w:ilvl w:val="1"/>
          <w:numId w:val="10"/>
        </w:numPr>
      </w:pPr>
      <w:r>
        <w:lastRenderedPageBreak/>
        <w:t>Jeder verlängerte oder erweiterte Eigentumsvorbehalt des AN ist ausgeschlossen.</w:t>
      </w:r>
    </w:p>
    <w:p w14:paraId="3D272DD5" w14:textId="47E3EA84" w:rsidR="00CB596B" w:rsidRPr="00D12263" w:rsidRDefault="00CB596B" w:rsidP="00CB596B">
      <w:pPr>
        <w:pStyle w:val="LutE-LvL1-Heading"/>
        <w:rPr>
          <w:rFonts w:cs="Arial"/>
        </w:rPr>
      </w:pPr>
      <w:bookmarkStart w:id="22" w:name="_Toc242102376"/>
      <w:r>
        <w:rPr>
          <w:rFonts w:cs="Arial"/>
        </w:rPr>
        <w:t>Verfügbarkeit und Vertragsstrafe</w:t>
      </w:r>
      <w:bookmarkEnd w:id="22"/>
    </w:p>
    <w:p w14:paraId="0D94F4A9" w14:textId="527DA177" w:rsidR="00BF26F9" w:rsidRPr="00B90D81" w:rsidRDefault="00BF26F9" w:rsidP="001F3A07">
      <w:pPr>
        <w:pStyle w:val="LutE-LvL2-Heading"/>
        <w:numPr>
          <w:ilvl w:val="1"/>
          <w:numId w:val="10"/>
        </w:numPr>
      </w:pPr>
      <w:r>
        <w:t xml:space="preserve">Der AN hat die Leistungen der Realisierungsphase entsprechend den Vorgaben der Feinplanung termingerecht zu erbringen. Für die Leistungen der Servicephase hat er die in Anlage 03 festgelegten Reaktionszeiten einzuhalten und die geschuldeten Leistungen fristgerecht zu erbringen. </w:t>
      </w:r>
    </w:p>
    <w:p w14:paraId="71186F93" w14:textId="5BAD6C42" w:rsidR="00CB596B" w:rsidRPr="00D12263" w:rsidRDefault="00CB596B" w:rsidP="00B90D81">
      <w:pPr>
        <w:pStyle w:val="LutE-LvL2-Heading"/>
      </w:pPr>
      <w:r>
        <w:rPr>
          <w:rFonts w:eastAsia="Arial"/>
        </w:rPr>
        <w:t>Vertragsstrafe</w:t>
      </w:r>
    </w:p>
    <w:p w14:paraId="1434EBCC" w14:textId="3AA0F185" w:rsidR="00C27115" w:rsidRDefault="00C27115" w:rsidP="001405CC">
      <w:pPr>
        <w:pStyle w:val="LutE-LvL3-Heading"/>
      </w:pPr>
      <w:r>
        <w:t xml:space="preserve">Der AG ist berechtigt eine Vertragsstrafe zu verlangen, wenn der AN jeweils die in Abschnitt 5 des Preisblatts (Anlage 02) angegebenen Meilensteintermine der Testphase für Konstruktionsfreigabe, Typtest und Sicherheitsgutachten nicht einhält. Der AG hat das Recht für jeden abgeschlossenen Kalendertag der Verzögerung eine Vertragsstrafe in Form von 0,5 Prozent der Nettoauftragssumme für die betroffene Leistung zu verlangen. </w:t>
      </w:r>
    </w:p>
    <w:p w14:paraId="5B4C4680" w14:textId="221E2B51" w:rsidR="00CB596B" w:rsidRDefault="00CB596B">
      <w:pPr>
        <w:pStyle w:val="LutE-LvL3-Heading"/>
      </w:pPr>
      <w:r>
        <w:t xml:space="preserve">Der AG ist berechtigt eine Vertragsstrafe zu verlangen, wenn der AN die Türsteuergeräte zu den verbindlich festgelegten Umbauterminen der Roll-Out-Phase nicht bereitstellt. Der AG hat das Recht für jeden abgeschlossenen Kalendertag der Verzögerung eine Vertragsstrafe in Form von 0,5 Prozent der Nettoauftragssumme für die betroffene Leistung zu verlangen. </w:t>
      </w:r>
    </w:p>
    <w:p w14:paraId="0482FBC7" w14:textId="21CDEBC5" w:rsidR="00460EDE" w:rsidRPr="00F55FBE" w:rsidRDefault="00460EDE" w:rsidP="00F55FBE">
      <w:pPr>
        <w:pStyle w:val="LutE-LvL3-Heading"/>
      </w:pPr>
      <w:r>
        <w:t>Die Nettoauftragssumme entspricht dem mit Zuschlag erteilten Nettoangebotspreis des AN einschließlich aller Optionsleistungen. Nachträgliche Änderungen des Auftrags- oder Angebotswertes bleiben ungeachtet ihres Grundes bei der Ermittlung der Berechnungsgrundlage außer Betracht.</w:t>
      </w:r>
    </w:p>
    <w:p w14:paraId="5A1BF7E4" w14:textId="07EA6BB3" w:rsidR="00505863" w:rsidRDefault="00505863" w:rsidP="00505863">
      <w:pPr>
        <w:pStyle w:val="LutE-LvL3-Heading"/>
      </w:pPr>
      <w:r>
        <w:t>Die Summe aller Vertragsstrafen aufgrund von Verzug darf die Summe von</w:t>
      </w:r>
      <w:r>
        <w:rPr>
          <w:b/>
          <w:bCs/>
        </w:rPr>
        <w:t xml:space="preserve"> 5 Prozent des Gesamtauftragswerts</w:t>
      </w:r>
      <w:r>
        <w:t xml:space="preserve"> nicht übersteigen.</w:t>
      </w:r>
    </w:p>
    <w:p w14:paraId="6CDEBD5F" w14:textId="3104ACF1" w:rsidR="00505863" w:rsidRPr="000D39AD" w:rsidRDefault="00505863" w:rsidP="00B90D81">
      <w:pPr>
        <w:pStyle w:val="LutE-LvL3-Heading"/>
      </w:pPr>
      <w:r>
        <w:t>Weitergehende Rechte des AG im Falle des Verzugs bleiben unberührt. Eine Anrechnung der Vertragsstrafe auf Schadensersatzansprüche erfolgt ausschließlich im Hinblick auf solche Schadensersatzansprüche, die auf dem Verzug beruhen.</w:t>
      </w:r>
    </w:p>
    <w:p w14:paraId="608AF3D8" w14:textId="6C2B5A15" w:rsidR="00CB596B" w:rsidRPr="00D12263" w:rsidRDefault="00505863" w:rsidP="00B90D81">
      <w:pPr>
        <w:pStyle w:val="LutE-LvL3-Heading"/>
      </w:pPr>
      <w:r>
        <w:t xml:space="preserve">Die Vertragsstrafenregelungen behalten auch bei einer einvernehmlichen Änderung der mit Vertragsstrafen belegten Leistungstermine ihre Gültigkeit. Eine nachträgliche Anpassung von Terminen berührt bereits entstandene </w:t>
      </w:r>
      <w:r>
        <w:lastRenderedPageBreak/>
        <w:t>Vertragsstrafenansprüche des AG nicht, sofern die Terminverschiebung auf Verzug oder eine sonstige Pflichtverletzung des AN zurückgeht.</w:t>
      </w:r>
    </w:p>
    <w:p w14:paraId="7C5A3767" w14:textId="562BD19B" w:rsidR="00CB7ADA" w:rsidRDefault="00CB596B" w:rsidP="00505863">
      <w:pPr>
        <w:pStyle w:val="LutE-LvL3-Heading"/>
      </w:pPr>
      <w:r>
        <w:t>Der AG kann die Vertragsstrafe auch dann geltend machen, wenn er sich das Recht hierzu bei Entgegennahme der verspäteten Leistung nicht ausdrücklich vorbehalten hat, sofern die Geltendmachung innerhalb von zwölf Monaten nach der jeweiligen Fristüberschreitung erfolgt.</w:t>
      </w:r>
    </w:p>
    <w:p w14:paraId="2234AC40" w14:textId="5DFF2E79" w:rsidR="00505863" w:rsidRDefault="00505863" w:rsidP="00505863">
      <w:pPr>
        <w:pStyle w:val="LutE-LvL1-Heading"/>
      </w:pPr>
      <w:bookmarkStart w:id="23" w:name="_Toc242102377"/>
      <w:r>
        <w:t>Abnahme und Freigaberegelung</w:t>
      </w:r>
      <w:bookmarkEnd w:id="23"/>
    </w:p>
    <w:p w14:paraId="2F97D209" w14:textId="46C4A6EF" w:rsidR="00505863" w:rsidRPr="000D39AD" w:rsidRDefault="00505863" w:rsidP="00505863">
      <w:pPr>
        <w:pStyle w:val="LutE-LvL2-Heading"/>
      </w:pPr>
      <w:r>
        <w:t>Freigabe von Leistungen der Realisierungsphase</w:t>
      </w:r>
    </w:p>
    <w:p w14:paraId="6E616551" w14:textId="270A8817" w:rsidR="00505863" w:rsidRPr="000D39AD" w:rsidRDefault="00505863" w:rsidP="00505863">
      <w:pPr>
        <w:pStyle w:val="LutE-LvL3-Heading"/>
      </w:pPr>
      <w:r>
        <w:t xml:space="preserve">Sämtliche Leistungen der Realisierungsphase, mit Ausnahme der Bereitstellung der Türsteuergeräte selbst bedürfen einer Freigabe durch den AG. Die Freigabe erfolgt jeweils nach Abschluss der entsprechenden Teilleistung. </w:t>
      </w:r>
    </w:p>
    <w:p w14:paraId="2978C5E8" w14:textId="7280A6DF" w:rsidR="00505863" w:rsidRPr="000D39AD" w:rsidRDefault="00505863" w:rsidP="00505863">
      <w:pPr>
        <w:pStyle w:val="LutE-LvL3-Heading"/>
      </w:pPr>
      <w:r>
        <w:t>Die Freigabe ist durch den AG förmlich schriftlich zu erklären, sofern im Rahmen einer vorherigen Prüfung unter Beteiligung beider Parteien festgestellt wurde, dass die Teilleistung den vertraglichen Anforderungen entspricht und frei von Mängeln ist. Sofern für den Einsatz der Leistungen im Produktivbetrieb behördliche Genehmigungen, Erlaubnisse oder Zertifizierungen erforderlich sind, setzt die Freigabefähigkeit ebenfalls deren uneingeschränkte Erteilung voraus. Eine Freigabe ohne entsprechende förmlich schriftliche Erklärung des AG ist ausgeschlossen.</w:t>
      </w:r>
    </w:p>
    <w:p w14:paraId="37AEC41A" w14:textId="0874BD1E" w:rsidR="00533194" w:rsidRPr="001F3A07" w:rsidRDefault="00533194" w:rsidP="00533194">
      <w:pPr>
        <w:pStyle w:val="LutE-LvL3-Heading"/>
      </w:pPr>
      <w:r>
        <w:t>Sofern für die Kommunikation oder Vorgangsbearbeitung ein elektronisches System oder Onlineportal des AG genutzt wird, gilt die Freigabe als erteilt, sobald der AG den betreffenden Vorgang im System als abgeschlossen, freigegeben oder vergleichbar gekennzeichnet hat oder dem AN zumindest in Textform die entsprechende Freigabe mitteilt.</w:t>
      </w:r>
    </w:p>
    <w:p w14:paraId="3EC56493" w14:textId="2CCB8E85" w:rsidR="00505863" w:rsidRPr="000D39AD" w:rsidRDefault="00505863" w:rsidP="00505863">
      <w:pPr>
        <w:pStyle w:val="LutE-LvL3-Heading"/>
      </w:pPr>
      <w:r>
        <w:t>Eine Verweigerung der Freigabe ist bei Vorliegen lediglich leichter Mängel im Sinne der Anlage 03 unzulässig. Überschreitet die Anzahl der offenen leichten Mängel jedoch den Wert 5, gelten diese als betriebsbehindernd. In diesem Fall ist der AG berechtigt, die Freigabe zu verweigern, bis die Anzahl der verbleibenden leichten Mängel auf höchstens 5 reduziert ist.</w:t>
      </w:r>
    </w:p>
    <w:p w14:paraId="35B039BD" w14:textId="2001C18F" w:rsidR="00505863" w:rsidRPr="000D39AD" w:rsidRDefault="00505863" w:rsidP="00505863">
      <w:pPr>
        <w:pStyle w:val="LutE-LvL3-Heading"/>
      </w:pPr>
      <w:r>
        <w:t xml:space="preserve">Die Freigabe stellt keine Abnahme dar. Insbesondere führt sie weder zu einer Umkehr der Beweislast noch zur Fälligkeit einer Schlusszahlung. Die Freigabe </w:t>
      </w:r>
      <w:r>
        <w:lastRenderedPageBreak/>
        <w:t>dient ausschließlich der Dokumentation des Projektfortschritts sowie als Grundlage für etwaige Abschlagszahlungen.</w:t>
      </w:r>
    </w:p>
    <w:p w14:paraId="03E8B963" w14:textId="122CA7BF" w:rsidR="00505863" w:rsidRDefault="002E537E" w:rsidP="002E537E">
      <w:pPr>
        <w:pStyle w:val="LutE-LvL2-Heading"/>
      </w:pPr>
      <w:r>
        <w:t>Werksabnahme von Leistungen der Realisierungsphase</w:t>
      </w:r>
    </w:p>
    <w:p w14:paraId="3ED649D0" w14:textId="0E7D33DF" w:rsidR="002E537E" w:rsidRDefault="002E537E" w:rsidP="00B90D81">
      <w:pPr>
        <w:pStyle w:val="LutE-LvL3-Heading"/>
      </w:pPr>
      <w:r>
        <w:t xml:space="preserve">Der Lieferung aller Türsteuergeräte (sowohl der Test- als auch der Rolloutphase) gehen Prüfungen im Werk des AN voraus. Diese gelten auch dann, wenn sie nachfolgend als "Abnahme" bezeichnet sind (z.B. "Werksabnahme"), nicht als Abnahme im rechtsgeschäftlichen Sinne. Diese erfolgt unter den in Ziffer 15.3 genannten Voraussetzungen. Der AN hat sicherzustellen, dass die Türsteuergeräte den erforderlichen Komplettierungsgrad aufweisen. </w:t>
      </w:r>
    </w:p>
    <w:p w14:paraId="3DDA74D3" w14:textId="5587E5FB" w:rsidR="002E537E" w:rsidRDefault="002E537E" w:rsidP="00B90D81">
      <w:pPr>
        <w:pStyle w:val="LutE-LvL3-Heading"/>
      </w:pPr>
      <w:r>
        <w:t>Im Rahmen der Werksabnahme ist durch den AN ein Prüfprotokoll mit den Ergebnissen der Werksabnahme dem AG unmittelbar nach Werksabnahme zuzuleiten. Der erfolgreiche Abschluss der Werksabnahme mündet in die Freigabe zur Lieferung an den AG. Sie ist damit eine Voraussetzung für die rechtsgeschäftliche Abnahme, stellt diese aber nicht - auch nicht teilweise - dar. Die Mitteilung über die anstehende Werksabnahme hat dabei mindestens vierzehn (14) Kalendertage im Voraus zu erfolgen, wobei die Werksabnahme mindestens fünf (5) Werktage vor dem Liefertermin zu erfolgen hat. Die Freigabe zur Lieferung kann verweigert werden, wenn Mängel vorliegen oder die notwendigen Unterlagen fehlen oder unvollständig sind, es sei denn, die Mängel sind leichte Mängel gem. Mängelklassifikation (Anlage 03) und überschreiten die Anzahl (5) nicht oder die fehlenden Unterlagen hindern den AG nicht an der Prüfung des Ergebnisses der Werksabnahme.</w:t>
      </w:r>
    </w:p>
    <w:p w14:paraId="2127A2DB" w14:textId="43F7AA83" w:rsidR="002E537E" w:rsidRDefault="002E537E" w:rsidP="001A4152">
      <w:pPr>
        <w:pStyle w:val="LutE-LvL3-Heading"/>
        <w:numPr>
          <w:ilvl w:val="2"/>
          <w:numId w:val="10"/>
        </w:numPr>
        <w:ind w:left="1701" w:hanging="850"/>
      </w:pPr>
      <w:r>
        <w:t xml:space="preserve">Bei Prüfungen gemäß dieser Ziffer 15.2 durch den AG festgestellte Mängel hat der AN unverzüglich noch im Werk zu beseitigen. </w:t>
      </w:r>
    </w:p>
    <w:p w14:paraId="0AFD1264" w14:textId="4AD532E2" w:rsidR="002E537E" w:rsidRDefault="002E537E" w:rsidP="001A4152">
      <w:pPr>
        <w:pStyle w:val="LutE-LvL3-Heading"/>
        <w:numPr>
          <w:ilvl w:val="2"/>
          <w:numId w:val="10"/>
        </w:numPr>
        <w:ind w:left="1701"/>
      </w:pPr>
      <w:r>
        <w:t>Wenn sie nicht lediglich ein Türsteuergerät, sondern gemäß der Definition des Serienmangels in Ziffer 17.13 die gesamte Serie betreffen, hat die Mängelbeseitigung an allen betroffenen Geräten zu erfolgen, es sei denn, der AN kann nachweisen, dass die Mängel – etwa aufgrund einer geänderten Konstruktion oder Fertigungstechnologie, geänderter Bauteile oder eines Nachunternehmer- bzw. Lieferantenwechsels – an den übrigen Türsteuergeräten nicht vorhanden sind.</w:t>
      </w:r>
    </w:p>
    <w:p w14:paraId="19EE8973" w14:textId="6BDD183D" w:rsidR="003D52A9" w:rsidRDefault="003D52A9" w:rsidP="003D52A9">
      <w:pPr>
        <w:pStyle w:val="LutE-LvL2-Heading"/>
      </w:pPr>
      <w:r>
        <w:t>Endabnahme von Leistungen der Realisierungsphase</w:t>
      </w:r>
    </w:p>
    <w:p w14:paraId="38DA573E" w14:textId="7EDC96D6" w:rsidR="003D52A9" w:rsidRDefault="003D52A9" w:rsidP="003D52A9">
      <w:pPr>
        <w:pStyle w:val="LutE-LvL3-Heading"/>
      </w:pPr>
      <w:r>
        <w:t xml:space="preserve">Alle gelieferten Türsteuergeräte (sowohl der Test- als auch der Roll-Out-Phase) unterliegen einer Endabnahme. Gegenstand der Endabnahme ist die </w:t>
      </w:r>
      <w:r>
        <w:lastRenderedPageBreak/>
        <w:t>Feststellung, ob die vom AN erbrachte Leistung den vertraglichen Anforderungen entspricht und keine Mängel vorliegen, die der Abnahme entgegenstehen. Die Endabnahme erfolgt nach erfolgreicher Werksabnahme und Lieferung durch den AN und erfolgreichem Funktionstest der Geräte durch den AG.</w:t>
      </w:r>
    </w:p>
    <w:p w14:paraId="6FFD7448" w14:textId="24F1EC1A" w:rsidR="00DB06F9" w:rsidRDefault="00DB06F9" w:rsidP="00DB06F9">
      <w:pPr>
        <w:pStyle w:val="LutE-LvL3-Heading"/>
      </w:pPr>
      <w:r>
        <w:t>Die Endabnahme der Türsteuergeräte der Testphase erfolgt anders als in Ziffer 15.3.1 benannt, erst im Zuge der Freigabe der Testphase.</w:t>
      </w:r>
    </w:p>
    <w:p w14:paraId="4A71087E" w14:textId="3702B5E0" w:rsidR="003F2B34" w:rsidRDefault="00FF758F" w:rsidP="003D52A9">
      <w:pPr>
        <w:pStyle w:val="LutE-LvL3-Heading"/>
      </w:pPr>
      <w:r>
        <w:t>Der AG hält im eigenen Lager einen fest definierten Bestand an funktionsfähigen Türsteuergeräten vor, der der Sicherstellung eines unverzüglichen Austauschs defekter Türsteuergeräte dient. Dieser Bestand wird als Rollmenge bezeichnet. Die Endabnahme der im Reparaturfall als Rollmenge vorgesehenen Türsteuergeräte erfolgt nach erfolgreicher Werksabnahme und Lieferung durch den AN und erfolgreichem Funktionstest der Geräte durch den AG.</w:t>
      </w:r>
    </w:p>
    <w:p w14:paraId="2B51B6F9" w14:textId="32B30031" w:rsidR="003D52A9" w:rsidRPr="000D39AD" w:rsidRDefault="003D52A9" w:rsidP="003D52A9">
      <w:pPr>
        <w:pStyle w:val="LutE-LvL3-Heading"/>
      </w:pPr>
      <w:r>
        <w:t>Die Endabnahme ist vom AG ausdrücklich und in förmlich schriftlicher Form zu erklären, sobald die Abnahmereife im Sinne von Ziffer 15.3.1 vorliegt. Abweichend von der im Vertrag ansonsten vorgesehenen Schriftform gilt eine Erklärung nur dann als förmlich schriftlich, wenn sie in einem eigenhändig unterzeichneten Dokument erfolgt, das von ordnungsgemäß bevollmächtigten Vertretern der jeweiligen Vertragsparteien unterzeichnet ist.</w:t>
      </w:r>
    </w:p>
    <w:p w14:paraId="5FC9F735" w14:textId="464179D0" w:rsidR="00205A35" w:rsidRPr="00205A35" w:rsidRDefault="003D52A9" w:rsidP="001F3A07">
      <w:pPr>
        <w:pStyle w:val="LutE-LvL3-Heading"/>
      </w:pPr>
      <w:r>
        <w:t>Leichte Mängel im Sinne der in Anlage 03 definierten Mängelklassifikation stehen der Endabnahme nicht entgegen; eine Abnahmeverweigerung durch den AG ist insoweit unzulässig. Überschreitet die Anzahl der noch offenen leichten Mängel jedoch den Wert 5, gelten diese als betriebsbehindernd. In diesem Fall ist der AG berechtigt, die Endabnahme so lange zu verweigern, bis die Zahl der leichten Mängel auf höchstens 5 reduziert worden ist.</w:t>
      </w:r>
    </w:p>
    <w:p w14:paraId="7574B3BF" w14:textId="735FA745" w:rsidR="00DB06F9" w:rsidRPr="000D39AD" w:rsidRDefault="00DB06F9" w:rsidP="001564FF">
      <w:pPr>
        <w:pStyle w:val="LutE-LvL2-Heading"/>
        <w:keepNext/>
      </w:pPr>
      <w:r>
        <w:t>Freigabe von Ersatzgeräten der Servicephase</w:t>
      </w:r>
    </w:p>
    <w:p w14:paraId="69D555DA" w14:textId="21C054A9" w:rsidR="00E52D4B" w:rsidRPr="00E52D4B" w:rsidRDefault="00C3235C" w:rsidP="00E52D4B">
      <w:pPr>
        <w:pStyle w:val="LutE-LvL3-Heading"/>
      </w:pPr>
      <w:r>
        <w:t>Der AG bestätigt die vertragsgemäße Lieferung eines Ersatzgeräts nach Durchführung einer angemessenen Prüfung in Schriftform (Freigabe). Eine Freigabe ohne die schriftliche Erklärung des AG ist ausgeschlossen.</w:t>
      </w:r>
    </w:p>
    <w:p w14:paraId="1C0F6499" w14:textId="0CFF7729" w:rsidR="00B02485" w:rsidRPr="00B02485" w:rsidRDefault="00B02485" w:rsidP="00B02485">
      <w:pPr>
        <w:pStyle w:val="LutE-LvL3-Heading"/>
      </w:pPr>
      <w:r>
        <w:t xml:space="preserve">Wird ein elektronisches System oder Onlineportal des AG genutzt, gilt die Freigabe als erteilt, sobald der AG den betreffenden Vorgang im System als abgeschlossen, freigegeben oder vergleichbar gekennzeichnet hat oder dem AN zumindest in Textform die entsprechende Freigabe mitteilt. </w:t>
      </w:r>
    </w:p>
    <w:p w14:paraId="5B7B4C67" w14:textId="5D731573" w:rsidR="00DB06F9" w:rsidRPr="000D39AD" w:rsidRDefault="00DB06F9" w:rsidP="00DB06F9">
      <w:pPr>
        <w:pStyle w:val="LutE-LvL2-Heading"/>
      </w:pPr>
      <w:r>
        <w:t>Allgemeine Regelung für Werksabnahme, Endabnahme und Freigaben</w:t>
      </w:r>
    </w:p>
    <w:p w14:paraId="242EFAEA" w14:textId="26718654" w:rsidR="00DB06F9" w:rsidRPr="000D39AD" w:rsidRDefault="00DB06F9" w:rsidP="00DB06F9">
      <w:pPr>
        <w:pStyle w:val="LutE-LvL3-Heading"/>
      </w:pPr>
      <w:r>
        <w:lastRenderedPageBreak/>
        <w:t>Die Zeitpunkte für die Bereitstellung der Leistungen zur jeweiligen Freigabe oder Abnahme werden im Rahmen der Feinplanung abgestimmt. Der AN hat dem AG die Bereitschaft zur Freigabe oder Abnahme spätestens zwei Wochen vor dem vorgesehenen Termin in Textform anzuzeigen und die zuständigen Ansprechpartner zu benennen.</w:t>
      </w:r>
    </w:p>
    <w:p w14:paraId="395CA146" w14:textId="40A49FA2" w:rsidR="00DB06F9" w:rsidRPr="000D39AD" w:rsidRDefault="00DB06F9" w:rsidP="00DB06F9">
      <w:pPr>
        <w:pStyle w:val="LutE-LvL3-Heading"/>
      </w:pPr>
      <w:r>
        <w:t>Der AN erstellt für sämtliche Freigaben und Abnahmen geeignete Protokollvorlagen. Diese müssen mindestens eine tabellarische Übersicht der vorgesehenen Prüfpunkte enthalten, gegliedert nach Anforderungen und ergänzt um eine Spalte zur Dokumentation des Prüfungsergebnisses („erfüllt: ja/nein“). Die Vorlagen sind dem AG spätestens vier Wochen vor dem jeweiligen Prüfungszeitpunkt zur Verfügung zu stellen. Änderungswünsche des AG sind hierbei zu berücksichtigen. Der AG kann anstelle der vom AN bereitgestellten Vorlagen eigene Protokollformate verwenden.</w:t>
      </w:r>
    </w:p>
    <w:p w14:paraId="31A3D219" w14:textId="1581E68A" w:rsidR="00DB06F9" w:rsidRPr="000D39AD" w:rsidRDefault="00DB06F9" w:rsidP="00DB06F9">
      <w:pPr>
        <w:pStyle w:val="LutE-LvL3-Heading"/>
      </w:pPr>
      <w:r>
        <w:t>Liegen betriebsverhindernde oder betriebsbehindernde Mängel vor, ist der AG berechtigt, die Freigabe oder Abnahme zu verweigern. Die Einstufung der Mängel erfolgt gemäß den Regelungen in Anlage 03.</w:t>
      </w:r>
    </w:p>
    <w:p w14:paraId="7DAE2938" w14:textId="6C295F41" w:rsidR="00DB06F9" w:rsidRDefault="00DB06F9" w:rsidP="00DB06F9">
      <w:pPr>
        <w:pStyle w:val="LutE-LvL3-Heading"/>
      </w:pPr>
      <w:r>
        <w:t>Über jede Freigabe und jede Endabnahme ist ein Protokoll zu erstellen, das von beiden Vertragsparteien zu unterzeichnen ist. Im Fall der Werksabnahme genügt die Ausfüllung der benannten Prüfdokumente ausschließlich durch den AN.</w:t>
      </w:r>
    </w:p>
    <w:p w14:paraId="7FDC0B05" w14:textId="4141B9C5" w:rsidR="00061458" w:rsidRPr="00061458" w:rsidRDefault="00061458" w:rsidP="00B90D81">
      <w:pPr>
        <w:pStyle w:val="LutE-LvL3-Heading"/>
        <w:numPr>
          <w:ilvl w:val="0"/>
          <w:numId w:val="0"/>
        </w:numPr>
        <w:ind w:left="1702"/>
      </w:pPr>
      <w:r>
        <w:t>Das Endabnahmeprotokoll enthält mindestens:</w:t>
      </w:r>
    </w:p>
    <w:p w14:paraId="379FC444"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Fahrzeugnummer oder Einbauort</w:t>
      </w:r>
    </w:p>
    <w:p w14:paraId="07392B84"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Bezeichnung der Baugruppe oder des Bauteils</w:t>
      </w:r>
    </w:p>
    <w:p w14:paraId="37470D04"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Seriennummer, Materialnummer oder Identnummer</w:t>
      </w:r>
    </w:p>
    <w:p w14:paraId="3BCB36C8"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Datum des Einbaus</w:t>
      </w:r>
    </w:p>
    <w:p w14:paraId="7E0178CF"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Datum der Übernahme</w:t>
      </w:r>
    </w:p>
    <w:p w14:paraId="19849B75" w14:textId="77777777"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Ergebnis der Funktionsprüfung</w:t>
      </w:r>
    </w:p>
    <w:p w14:paraId="0F4C8D88" w14:textId="25F9BEDA"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Name bzw. Organisationseinheit des AG</w:t>
      </w:r>
    </w:p>
    <w:p w14:paraId="709582FB" w14:textId="2D611FC5" w:rsidR="00061458" w:rsidRPr="00B90D81" w:rsidRDefault="00061458" w:rsidP="00B90D81">
      <w:pPr>
        <w:pStyle w:val="Listenabsatz"/>
        <w:numPr>
          <w:ilvl w:val="1"/>
          <w:numId w:val="31"/>
        </w:numPr>
        <w:rPr>
          <w:rFonts w:eastAsiaTheme="minorHAnsi"/>
          <w:sz w:val="22"/>
          <w:lang w:val="de-DE"/>
        </w:rPr>
      </w:pPr>
      <w:r>
        <w:rPr>
          <w:rFonts w:eastAsiaTheme="minorHAnsi"/>
          <w:sz w:val="22"/>
          <w:lang w:val="de-DE"/>
        </w:rPr>
        <w:t>gegebenenfalls offene Punkte oder Vorbehalte</w:t>
      </w:r>
    </w:p>
    <w:p w14:paraId="1D703312" w14:textId="2D7E6ECD" w:rsidR="00DB06F9" w:rsidRPr="000D39AD" w:rsidRDefault="00DB06F9" w:rsidP="00DB06F9">
      <w:pPr>
        <w:pStyle w:val="LutE-LvL3-Heading"/>
      </w:pPr>
      <w:r>
        <w:t>Mängel, die einer Freigabe oder Abnahme nicht entgegenstehen, sind vom AN nach erfolgter Freigabe beziehungsweise Abnahme unverzüglich zu beheben. Sofern die Parteien keine Einigung über die hierfür maßgebliche Frist erzielen, kann der AG eine angemessene Frist zur Mängelbeseitigung festlegen.</w:t>
      </w:r>
    </w:p>
    <w:p w14:paraId="7463F867" w14:textId="666D792D" w:rsidR="00DB06F9" w:rsidRPr="000D39AD" w:rsidRDefault="00DB06F9" w:rsidP="00DB06F9">
      <w:pPr>
        <w:pStyle w:val="LutE-LvL3-Heading"/>
      </w:pPr>
      <w:r>
        <w:t xml:space="preserve">Wurden Mängel beseitigt, die zuvor einer Freigabe oder Abnahme entgegenstanden, hat der AN die betreffende Leistung erneut zur Prüfung </w:t>
      </w:r>
      <w:r>
        <w:lastRenderedPageBreak/>
        <w:t>vorzulegen. Für die Wiederholungsprüfung gelten die vorstehenden Bestimmungen entsprechend.</w:t>
      </w:r>
    </w:p>
    <w:p w14:paraId="6F135CEE" w14:textId="68881C34" w:rsidR="00DB06F9" w:rsidRPr="00B90D81" w:rsidRDefault="00DB06F9" w:rsidP="00B90D81">
      <w:pPr>
        <w:pStyle w:val="LutE-LvL3-Heading"/>
      </w:pPr>
      <w:r>
        <w:t>Der AN unterstützt den AG während der Durchführung von Freigabe- und Abnahmeprüfungen in angemessenem Umfang. Dies umfasst insbesondere die Bereitstellung qualifizierter Ansprechpartner, die fachliche Begleitung der Prüfung sowie die Vorführung und Erläuterung relevanter Funktionen. Die Werksabnahme erfolgt vollumfänglich durch den AN selbst.</w:t>
      </w:r>
    </w:p>
    <w:p w14:paraId="3B844A4F" w14:textId="5E64F867" w:rsidR="00F00BED" w:rsidRPr="00F00BED" w:rsidRDefault="00F00BED" w:rsidP="00F00BED">
      <w:pPr>
        <w:pStyle w:val="LutE-LvL1-Heading"/>
      </w:pPr>
      <w:bookmarkStart w:id="24" w:name="_Toc242102378"/>
      <w:r>
        <w:t>Haftung und Gefahrenübergang des Auftragnehmers</w:t>
      </w:r>
      <w:bookmarkEnd w:id="24"/>
    </w:p>
    <w:p w14:paraId="19947B59" w14:textId="29A0499B" w:rsidR="00F00BED" w:rsidRDefault="00F00BED" w:rsidP="00F00BED">
      <w:pPr>
        <w:pStyle w:val="LutE-LvL2-Heading"/>
      </w:pPr>
      <w:r>
        <w:t>Die Gefahr des zufälligen Untergangs und der zufälligen Verschlechterung eines Türsteuergeräts geht nach dessen Entladung am jeweiligen Einbauort auf den AG über.</w:t>
      </w:r>
    </w:p>
    <w:p w14:paraId="66AE1C10" w14:textId="77777777" w:rsidR="00F00BED" w:rsidRPr="000D39AD" w:rsidRDefault="00F00BED" w:rsidP="00F00BED">
      <w:pPr>
        <w:pStyle w:val="LutE-LvL2-Heading"/>
      </w:pPr>
      <w:r>
        <w:t>Sofern in diesem Vertrag keine abweichenden Regelungen getroffen sind, richtet sich die Haftung der Parteien nach den gesetzlichen Vorschriften.</w:t>
      </w:r>
    </w:p>
    <w:p w14:paraId="40778414" w14:textId="1E768B73" w:rsidR="00F00BED" w:rsidRPr="000D39AD" w:rsidRDefault="00F00BED" w:rsidP="00F00BED">
      <w:pPr>
        <w:pStyle w:val="LutE-LvL2-Heading"/>
      </w:pPr>
      <w:r>
        <w:t>Die Haftung des AN für Schäden, die auf leichter Fahrlässigkeit beruhen, ist im Rahmen dieses Vertrags wie folgt beschränkt:</w:t>
      </w:r>
    </w:p>
    <w:p w14:paraId="4412CD2E" w14:textId="46F7E5B2" w:rsidR="00F00BED" w:rsidRPr="003D6994" w:rsidRDefault="00F00BED" w:rsidP="001A4152">
      <w:pPr>
        <w:pStyle w:val="LutE-LvL2-Heading"/>
      </w:pPr>
      <w:r>
        <w:t>Für Sach- und Vermögensschäden ist die Haftung des AN bei leichter Fahrlässigkeit auf 100 % der Nettoauftragssumme begrenzt. Für die Bestimmung der Nettoauftragssumme gelten die Regelungen in Ziffer 14.2.2 entsprechend. Für Sach- und Vermögensschäden ist die Haftung des Auftragnehmers für entgangenen Gewinn im Falle leichter Fahrlässigkeit ausgeschlossen. Soweit der Auftraggeber für die Durchführung des Vertrags Fördermittel oder sonstige Zuwendungen von Dritten erhält, stellen diese keinen Gewinn dar. Der Verlust derartiger Fördermittel oder sonstiger Zuwendungen ist ein ersatzfähiger Schaden, für den der Auftragnehmer im Rahmen der vereinbarten Höchstbeträge haftet. Dasselbe gilt für alle sonstigen Schäden, die kein entgangener Gewinn sind.</w:t>
      </w:r>
    </w:p>
    <w:p w14:paraId="2056365A" w14:textId="350CEB14" w:rsidR="00F00BED" w:rsidRPr="000D39AD" w:rsidRDefault="00F00BED" w:rsidP="00F00BED">
      <w:pPr>
        <w:pStyle w:val="LutE-LvL2-Heading"/>
      </w:pPr>
      <w:r>
        <w:t>Die vorstehende Haftungsbegrenzung gilt nicht für Personenschäden, für Schäden aus der Verletzung einer Garantie innerhalb ihres jeweiligen Geltungsbereichs, für Datenschutzverstöße, für die Verletzung von Rechten Dritter sowie für Ansprüche nach dem Produkthaftungsrecht. Weitergehende Ansprüche und Rechte des AG bleiben unberührt.</w:t>
      </w:r>
    </w:p>
    <w:p w14:paraId="517B6B93" w14:textId="4C05FF83" w:rsidR="00505863" w:rsidRPr="00505863" w:rsidRDefault="00F00BED" w:rsidP="00B90D81">
      <w:pPr>
        <w:pStyle w:val="LutE-LvL2-Heading"/>
      </w:pPr>
      <w:r>
        <w:t>Soweit den AN eine Haftung trifft, ist er verpflichtet, den AG von sämtlichen daraus resultierenden Schäden, Kosten und Aufwendungen sowie von Ansprüchen Dritter, einschließlich solcher wegen behaupteter Rechtsverletzungen, freizustellen.</w:t>
      </w:r>
    </w:p>
    <w:p w14:paraId="38E9B337" w14:textId="0DDDC0AC" w:rsidR="002D021F" w:rsidRPr="00D12263" w:rsidRDefault="00061458" w:rsidP="00B90D81">
      <w:pPr>
        <w:pStyle w:val="LutE-LvL1-Heading"/>
      </w:pPr>
      <w:bookmarkStart w:id="25" w:name="_Toc242102379"/>
      <w:r>
        <w:lastRenderedPageBreak/>
        <w:t>Gewährleistung/Mängelhaftung</w:t>
      </w:r>
      <w:bookmarkEnd w:id="25"/>
    </w:p>
    <w:p w14:paraId="0A174569" w14:textId="2F33B974" w:rsidR="006E44E8" w:rsidRPr="00D12263" w:rsidRDefault="006E44E8" w:rsidP="00B90D81">
      <w:pPr>
        <w:pStyle w:val="LutE-LvL2-Heading"/>
      </w:pPr>
      <w:r>
        <w:t>Der AN gewährleistet, dass die gelieferten Baugruppen und Bauteile frei von Sach- und Rechtsmängeln sind und die vereinbarte Funktion erfüllen.</w:t>
      </w:r>
    </w:p>
    <w:p w14:paraId="39CE784E" w14:textId="77777777" w:rsidR="006E44E8" w:rsidRPr="00D12263" w:rsidRDefault="006E44E8" w:rsidP="00B90D81">
      <w:pPr>
        <w:ind w:firstLine="567"/>
        <w:rPr>
          <w:rFonts w:cs="Arial"/>
          <w:sz w:val="22"/>
        </w:rPr>
      </w:pPr>
      <w:r>
        <w:rPr>
          <w:rFonts w:cs="Arial"/>
          <w:sz w:val="22"/>
        </w:rPr>
        <w:t>Die Gewährleistung umfasst insbesondere:</w:t>
      </w:r>
    </w:p>
    <w:p w14:paraId="40EA13CA" w14:textId="77777777" w:rsidR="006E44E8" w:rsidRPr="00D12263" w:rsidRDefault="006E44E8" w:rsidP="00B90D81">
      <w:pPr>
        <w:pStyle w:val="Aufzhlungszeichen"/>
        <w:tabs>
          <w:tab w:val="clear" w:pos="360"/>
          <w:tab w:val="num" w:pos="1080"/>
        </w:tabs>
        <w:ind w:left="1080"/>
        <w:rPr>
          <w:rFonts w:cs="Arial"/>
          <w:sz w:val="22"/>
        </w:rPr>
      </w:pPr>
      <w:r>
        <w:rPr>
          <w:rFonts w:cs="Arial"/>
          <w:sz w:val="22"/>
        </w:rPr>
        <w:t>Materialfehler</w:t>
      </w:r>
    </w:p>
    <w:p w14:paraId="6F0602D9" w14:textId="77777777" w:rsidR="006E44E8" w:rsidRPr="00D12263" w:rsidRDefault="006E44E8" w:rsidP="00B90D81">
      <w:pPr>
        <w:pStyle w:val="Aufzhlungszeichen"/>
        <w:tabs>
          <w:tab w:val="clear" w:pos="360"/>
          <w:tab w:val="num" w:pos="1080"/>
        </w:tabs>
        <w:ind w:left="1080"/>
        <w:rPr>
          <w:rFonts w:cs="Arial"/>
          <w:sz w:val="22"/>
        </w:rPr>
      </w:pPr>
      <w:r>
        <w:rPr>
          <w:rFonts w:cs="Arial"/>
          <w:sz w:val="22"/>
        </w:rPr>
        <w:t>Fertigungsfehler</w:t>
      </w:r>
    </w:p>
    <w:p w14:paraId="534DE79F" w14:textId="77777777" w:rsidR="006E44E8" w:rsidRPr="00D12263" w:rsidRDefault="006E44E8" w:rsidP="00B90D81">
      <w:pPr>
        <w:pStyle w:val="Aufzhlungszeichen"/>
        <w:tabs>
          <w:tab w:val="clear" w:pos="360"/>
          <w:tab w:val="num" w:pos="1080"/>
        </w:tabs>
        <w:ind w:left="1080"/>
        <w:rPr>
          <w:rFonts w:cs="Arial"/>
          <w:sz w:val="22"/>
        </w:rPr>
      </w:pPr>
      <w:r>
        <w:rPr>
          <w:rFonts w:cs="Arial"/>
          <w:sz w:val="22"/>
        </w:rPr>
        <w:t>Funktionsstörungen aufgrund mangelhafter Komponenten</w:t>
      </w:r>
    </w:p>
    <w:p w14:paraId="6EBBA975" w14:textId="26919A3B" w:rsidR="006E44E8" w:rsidRPr="00D12263" w:rsidRDefault="006E44E8" w:rsidP="00B90D81">
      <w:pPr>
        <w:pStyle w:val="Aufzhlungszeichen"/>
        <w:tabs>
          <w:tab w:val="clear" w:pos="360"/>
          <w:tab w:val="num" w:pos="1080"/>
        </w:tabs>
        <w:ind w:left="1080"/>
        <w:rPr>
          <w:rFonts w:cs="Arial"/>
          <w:sz w:val="22"/>
          <w:lang w:val="de-DE"/>
        </w:rPr>
      </w:pPr>
      <w:r>
        <w:rPr>
          <w:rFonts w:cs="Arial"/>
          <w:sz w:val="22"/>
          <w:lang w:val="de-DE"/>
        </w:rPr>
        <w:t>Kompatibilitätsprobleme, sofern diese durch den AN zu vertreten sind</w:t>
      </w:r>
    </w:p>
    <w:p w14:paraId="116DC742" w14:textId="3AD68ED1" w:rsidR="006E44E8" w:rsidRDefault="006E44E8" w:rsidP="00061458">
      <w:pPr>
        <w:pStyle w:val="LutE-LvL2-Heading"/>
      </w:pPr>
      <w:r>
        <w:t>Der AN hat Sach- und Rechtsmängel, die innerhalb der Gewährleistungsfrist auftreten, im Wege der Nacherfüllung auf eigene Kosten zu beseitigen.</w:t>
      </w:r>
    </w:p>
    <w:p w14:paraId="788D19CC" w14:textId="3CD00180" w:rsidR="002D021F" w:rsidRDefault="0087228C" w:rsidP="00061458">
      <w:pPr>
        <w:pStyle w:val="LutE-LvL2-Heading"/>
      </w:pPr>
      <w:r>
        <w:t>Für jede durch den AN neu gelieferte Baugruppe sowie für jedes verbaute Bauteil beginnt die Gewährleistungsphase gesondert mit der jeweiligen Endabnahme. Die Gewährleistungsfrist beträgt 24 Monate ab diesem Zeitpunkt. Unabhängig hiervon endet die Gewährleistungsfrist jedoch nicht vor Ablauf von 6 Monaten ab Einbau des jeweiligen Türsteuergeräts.</w:t>
      </w:r>
    </w:p>
    <w:p w14:paraId="001D9416" w14:textId="0CFC63A4" w:rsidR="00B82CFF" w:rsidRDefault="00B82CFF" w:rsidP="00061458">
      <w:pPr>
        <w:pStyle w:val="LutE-LvL2-Heading"/>
      </w:pPr>
      <w:r>
        <w:t>Für die im jeweiligen Reparaturfall als Rollmenge vorgehaltenen Türsteuergeräte, sowie gelieferte Ersatzgeräte im Rahmen der Servicephase beträgt die Gewährleistungsfrist 24 Monate ab Endabnahme beziehungsweise Freigabe. Unabhängig hiervon endet die Gewährleistungsfrist jedoch nicht vor Ablauf von 6 Monaten ab Einbau des jeweiligen Türsteuergeräts.</w:t>
      </w:r>
    </w:p>
    <w:p w14:paraId="3B9E220E" w14:textId="09807C94" w:rsidR="00061458" w:rsidRPr="000D39AD" w:rsidRDefault="00061458" w:rsidP="00061458">
      <w:pPr>
        <w:pStyle w:val="LutE-LvL2-Heading"/>
      </w:pPr>
      <w:r>
        <w:t>Mängelanzeigen, die vom AG über ein elektronisches System oder Onlineportal des AG erfolgen, stehen einer Anzeige in Schriftform gleich.</w:t>
      </w:r>
    </w:p>
    <w:p w14:paraId="3C8D529F" w14:textId="33760244" w:rsidR="00061458" w:rsidRPr="000D39AD" w:rsidRDefault="00061458" w:rsidP="00061458">
      <w:pPr>
        <w:pStyle w:val="LutE-LvL2-Heading"/>
      </w:pPr>
      <w:r>
        <w:t>Die Einteilung von Mängeln sowie die Fristen zu deren Beseitigung ergeben sich aus Anlage 03. Unterschieden wird zwischen leichten, betriebsbehindernden und betriebsverhindernden Mängeln. Leichte Mängel berechtigen nicht zum Rücktritt vom Vertrag; im Übrigen bleiben die Rechte des AG unberührt.</w:t>
      </w:r>
    </w:p>
    <w:p w14:paraId="14A767F2" w14:textId="55D7E37D" w:rsidR="00061458" w:rsidRPr="000D39AD" w:rsidRDefault="00061458" w:rsidP="00061458">
      <w:pPr>
        <w:pStyle w:val="LutE-LvL2-Heading"/>
      </w:pPr>
      <w:r>
        <w:t>Soweit ein Mangel ganz oder teilweise auf Vorgaben oder Leistungsbeschreibungen des AG zurückzuführen ist, bleibt die Haftung des AN grundsätzlich bestehen. Eine Reduzierung der Haftung erfolgt jedoch insoweit, als der AN seinen Prüfungs- und Hinweispflichten ordnungs-gemäß nachgekommen ist.</w:t>
      </w:r>
    </w:p>
    <w:p w14:paraId="754B5BA5" w14:textId="77777777" w:rsidR="00061458" w:rsidRPr="000D39AD" w:rsidRDefault="00061458" w:rsidP="00061458">
      <w:pPr>
        <w:pStyle w:val="LutE-LvL2-Heading"/>
      </w:pPr>
      <w:r>
        <w:t>Werden von Dritten Ansprüche wegen der Verletzung von Rechten im Zusammenhang mit dem Vertragsgegenstand geltend gemacht, hat die betroffene Partei die andere Partei hier-über unverzüglich in Schrift- oder Textform zu informieren.</w:t>
      </w:r>
    </w:p>
    <w:p w14:paraId="6707B3A3" w14:textId="4BC55EF8" w:rsidR="00061458" w:rsidRPr="000D39AD" w:rsidRDefault="00061458" w:rsidP="00061458">
      <w:pPr>
        <w:pStyle w:val="LutE-LvL2-Heading"/>
      </w:pPr>
      <w:r>
        <w:lastRenderedPageBreak/>
        <w:t>Wird die vertragsgemäße Nutzung der Leistungen durch Rechte Dritter oder sonstige Rechts-mängel beeinträchtigt, hat der AN auf eigene Kosten dafür Sorge zu tragen, dass die Nutzung weiterhin uneingeschränkt und ohne zusätzliche Kosten möglich ist. Dabei steht es dem AN frei, entweder die erforderlichen Nutzungsrechte zu beschaffen oder die betroffenen Leistungen so anzupassen, dass keine Rechtsverletzung mehr vorliegt und die vertraglichen Anforderungen weiterhin erfüllt werden. Weitergehende Ansprüche des AG bleiben hiervon unberührt.</w:t>
      </w:r>
    </w:p>
    <w:p w14:paraId="2D83673B" w14:textId="77777777" w:rsidR="00061458" w:rsidRPr="000D39AD" w:rsidRDefault="00061458" w:rsidP="00061458">
      <w:pPr>
        <w:pStyle w:val="LutE-LvL2-Heading"/>
        <w:numPr>
          <w:ilvl w:val="0"/>
          <w:numId w:val="0"/>
        </w:numPr>
        <w:ind w:left="567"/>
      </w:pPr>
      <w:r>
        <w:t>Die Parteien stimmen sich hinsichtlich der Verteidigung gegen entsprechende Ansprüche Dritter ab.</w:t>
      </w:r>
    </w:p>
    <w:p w14:paraId="251C154E" w14:textId="6DD93851" w:rsidR="00061458" w:rsidRPr="000D39AD" w:rsidRDefault="00061458" w:rsidP="00061458">
      <w:pPr>
        <w:pStyle w:val="LutE-LvL2-Heading"/>
      </w:pPr>
      <w:r>
        <w:t>Im Falle eines Gewährleistungsfalls hat der AN einen Bericht zur Fehlerbehebung zu erstellen. Dieser muss den Sachverhalt darstellen, den festgestellten Mangel beschreiben, die zur Beseitigung ergriffenen Maßnahmen darlegen sowie die Ursachen des Mangels erläutern.</w:t>
      </w:r>
    </w:p>
    <w:p w14:paraId="416A2721" w14:textId="41526EAA" w:rsidR="00061458" w:rsidRPr="000D39AD" w:rsidRDefault="00061458" w:rsidP="00061458">
      <w:pPr>
        <w:pStyle w:val="LutE-LvL2-Heading"/>
      </w:pPr>
      <w:r>
        <w:t>Die Freigabe eines Mangels durch den AG richtet sich nach den vertraglichen Regelungen zur Freigabe.</w:t>
      </w:r>
    </w:p>
    <w:p w14:paraId="206BF601" w14:textId="616CABF0" w:rsidR="00061458" w:rsidRDefault="00061458" w:rsidP="006E44E8">
      <w:pPr>
        <w:pStyle w:val="LutE-LvL2-Heading"/>
      </w:pPr>
      <w:r>
        <w:t>Mängel von Dienstleistungsergebnissen sind kostenfrei durch den AN zu beseitigen. Es gelten die übrigen Bestimmungen dieser Ziffer insofern anwendbar. Im Fall der Schlechtleistung einer Dienstleistung kann der AG deren Wiederholung verlangen. Schlägt die Beseitigung erneut fehl, kann der AG die Mängel auf Kosten des AN selbst beseitigen oder durch einen Dritten beseitigen lassen. Er kann hierfür vom AN einen Vorschuss verlangen.</w:t>
      </w:r>
    </w:p>
    <w:p w14:paraId="7DE1794D" w14:textId="77777777" w:rsidR="006E44E8" w:rsidRPr="00220B70" w:rsidRDefault="006E44E8" w:rsidP="006E44E8">
      <w:pPr>
        <w:pStyle w:val="LutE-LvL2-Heading"/>
        <w:numPr>
          <w:ilvl w:val="1"/>
          <w:numId w:val="10"/>
        </w:numPr>
        <w:rPr>
          <w:u w:val="single"/>
        </w:rPr>
      </w:pPr>
      <w:bookmarkStart w:id="26" w:name="_Ref210127707"/>
      <w:r>
        <w:rPr>
          <w:u w:val="single"/>
        </w:rPr>
        <w:t>Serienmängel</w:t>
      </w:r>
      <w:bookmarkEnd w:id="26"/>
    </w:p>
    <w:p w14:paraId="4DF76CBE" w14:textId="6DC7F974" w:rsidR="006E44E8" w:rsidRPr="00EA6040" w:rsidRDefault="006E44E8" w:rsidP="006E44E8">
      <w:pPr>
        <w:pStyle w:val="LutE-LvL3-Heading"/>
        <w:numPr>
          <w:ilvl w:val="2"/>
          <w:numId w:val="10"/>
        </w:numPr>
        <w:ind w:left="1418"/>
      </w:pPr>
      <w:r>
        <w:t xml:space="preserve">Der AN muss Serienmängel an bereits ausgelieferten Türsteuergeräten unverzüglich und bei den noch auszuliefernden Türsteuergeräten vor der Übergabe an den AG beseitigen. In Bezug auf die bereits ausgelieferten Türsteuergeräte gilt dies auch dann, wenn die Gewährleistungsfrist für diese Türsteuergeräte bereits abgelaufen ist. </w:t>
      </w:r>
    </w:p>
    <w:p w14:paraId="346B98DE" w14:textId="42774260" w:rsidR="006E44E8" w:rsidRDefault="006E44E8" w:rsidP="00B90D81">
      <w:pPr>
        <w:pStyle w:val="LutE-LvL3-Heading"/>
        <w:numPr>
          <w:ilvl w:val="2"/>
          <w:numId w:val="10"/>
        </w:numPr>
        <w:ind w:left="1418"/>
      </w:pPr>
      <w:bookmarkStart w:id="27" w:name="_Ref165278973"/>
      <w:r>
        <w:t xml:space="preserve">Ein </w:t>
      </w:r>
      <w:r>
        <w:rPr>
          <w:b/>
          <w:bCs/>
        </w:rPr>
        <w:t xml:space="preserve">Serienmangel </w:t>
      </w:r>
      <w:r>
        <w:t>liegt dann vor, wenn innerhalb von zwölf (12) Monaten auf Basis der jeweils ausgelieferten Türsteuergeräte mindestens drei (3) Mängel gleicher Art und gleicher Ursache auftreten, wobei eine identische Beanspruchung nicht Voraussetzung für das Vorliegen eines Serienmangels ist. Serienmängel können somit auch wiederholt auftreten.</w:t>
      </w:r>
      <w:bookmarkEnd w:id="27"/>
      <w:r>
        <w:t xml:space="preserve"> </w:t>
      </w:r>
    </w:p>
    <w:p w14:paraId="1ED44A0D" w14:textId="08B357B5" w:rsidR="006E44E8" w:rsidRPr="00EA6040" w:rsidRDefault="006E44E8" w:rsidP="006E44E8">
      <w:pPr>
        <w:pStyle w:val="LutE-LvL3-Heading"/>
        <w:numPr>
          <w:ilvl w:val="2"/>
          <w:numId w:val="10"/>
        </w:numPr>
        <w:ind w:left="1418"/>
      </w:pPr>
      <w:r>
        <w:t xml:space="preserve">Im Falle eines Serienmangels hat der AN den Mangel an allen Bauteilen (einschl. aller nicht im Fahrzeug verbauten Teile) auf seine Kosten zu beseitigen, unabhängig </w:t>
      </w:r>
      <w:r>
        <w:lastRenderedPageBreak/>
        <w:t xml:space="preserve">davon, ob sich der Mangel an dem jeweiligen Türsteuergerät bereits manifestiert hat. Dies gilt nicht, wenn der AN nachweisen kann, dass die Mängel – etwa aufgrund einer geänderten Konstruktion oder Fertigungstechnologie oder eines Nachunternehmer- bzw. Lieferantenwechsels – an den übrigen Türsteuergeräten nicht vorhanden sind. </w:t>
      </w:r>
    </w:p>
    <w:p w14:paraId="5129A08D" w14:textId="453DAB96" w:rsidR="006E44E8" w:rsidRDefault="006E44E8" w:rsidP="006E44E8">
      <w:pPr>
        <w:pStyle w:val="LutE-LvL3-Heading"/>
        <w:numPr>
          <w:ilvl w:val="2"/>
          <w:numId w:val="10"/>
        </w:numPr>
        <w:ind w:left="1418"/>
      </w:pPr>
      <w:r>
        <w:t xml:space="preserve">Bis zur entsprechenden Mängelbeseitigung ist der AG berechtigt, die </w:t>
      </w:r>
      <w:r>
        <w:rPr>
          <w:color w:val="000000" w:themeColor="text1"/>
        </w:rPr>
        <w:t xml:space="preserve">Annahme noch nicht gelieferter Türsteuergeräte zu verweigern, es sei denn, es handelt sich um einen </w:t>
      </w:r>
      <w:r>
        <w:t>unwesentlichen Mangel.</w:t>
      </w:r>
    </w:p>
    <w:p w14:paraId="55EB11B6" w14:textId="49F197D6" w:rsidR="002D021F" w:rsidRPr="00D12263" w:rsidRDefault="0087228C" w:rsidP="00D12263">
      <w:pPr>
        <w:pStyle w:val="LutE-LvL1-Heading"/>
        <w:rPr>
          <w:rFonts w:cs="Arial"/>
        </w:rPr>
      </w:pPr>
      <w:bookmarkStart w:id="28" w:name="_Toc242102380"/>
      <w:r>
        <w:rPr>
          <w:rFonts w:cs="Arial"/>
        </w:rPr>
        <w:t>Mitwirkungsobliegenheiten des Auftraggebers</w:t>
      </w:r>
      <w:bookmarkEnd w:id="28"/>
    </w:p>
    <w:p w14:paraId="361351E7" w14:textId="46214B9E" w:rsidR="00CA2BD5" w:rsidRPr="00D12263" w:rsidRDefault="00667DFE" w:rsidP="00B90D81">
      <w:pPr>
        <w:pStyle w:val="LutE-LvL2-Heading"/>
      </w:pPr>
      <w:r>
        <w:t>Der AG stellt sicher, dass defekte oder zu prüfende Baugruppen und Bauteile dem AN zur Analyse oder Bewertung zur Verfügung gestellt werden.</w:t>
      </w:r>
    </w:p>
    <w:p w14:paraId="1E39DC25" w14:textId="7BBF960F" w:rsidR="00CA2BD5" w:rsidRPr="00D12263" w:rsidRDefault="00667DFE" w:rsidP="00B90D81">
      <w:pPr>
        <w:ind w:firstLine="567"/>
        <w:rPr>
          <w:rFonts w:cs="Arial"/>
          <w:sz w:val="22"/>
          <w:lang w:val="de-DE"/>
        </w:rPr>
      </w:pPr>
      <w:r>
        <w:rPr>
          <w:rFonts w:cs="Arial"/>
          <w:sz w:val="22"/>
          <w:lang w:val="de-DE"/>
        </w:rPr>
        <w:t>Der AG unterstützt den AN insbesondere durch:</w:t>
      </w:r>
    </w:p>
    <w:p w14:paraId="2CBF2706" w14:textId="77777777" w:rsidR="00CA2BD5" w:rsidRPr="00D12263" w:rsidRDefault="00667DFE" w:rsidP="00B90D81">
      <w:pPr>
        <w:pStyle w:val="Aufzhlungszeichen"/>
        <w:tabs>
          <w:tab w:val="clear" w:pos="360"/>
          <w:tab w:val="num" w:pos="927"/>
        </w:tabs>
        <w:ind w:left="927"/>
        <w:rPr>
          <w:rFonts w:cs="Arial"/>
          <w:sz w:val="22"/>
        </w:rPr>
      </w:pPr>
      <w:r>
        <w:rPr>
          <w:rFonts w:cs="Arial"/>
          <w:sz w:val="22"/>
        </w:rPr>
        <w:t>Bereitstellung notwendiger Fehlerbeschreibungen</w:t>
      </w:r>
    </w:p>
    <w:p w14:paraId="3C48D1C5" w14:textId="77777777" w:rsidR="00CA2BD5" w:rsidRPr="00D12263" w:rsidRDefault="00667DFE" w:rsidP="00B90D81">
      <w:pPr>
        <w:pStyle w:val="Aufzhlungszeichen"/>
        <w:tabs>
          <w:tab w:val="clear" w:pos="360"/>
          <w:tab w:val="num" w:pos="927"/>
        </w:tabs>
        <w:ind w:left="927"/>
        <w:rPr>
          <w:rFonts w:cs="Arial"/>
          <w:sz w:val="22"/>
        </w:rPr>
      </w:pPr>
      <w:r>
        <w:rPr>
          <w:rFonts w:cs="Arial"/>
          <w:sz w:val="22"/>
        </w:rPr>
        <w:t>Übergabe defekter Baugruppen oder Bauteile</w:t>
      </w:r>
    </w:p>
    <w:p w14:paraId="50A43C12" w14:textId="77777777" w:rsidR="00CA2BD5" w:rsidRPr="00D12263" w:rsidRDefault="00667DFE" w:rsidP="00B90D81">
      <w:pPr>
        <w:pStyle w:val="Aufzhlungszeichen"/>
        <w:tabs>
          <w:tab w:val="clear" w:pos="360"/>
          <w:tab w:val="num" w:pos="927"/>
        </w:tabs>
        <w:ind w:left="927"/>
        <w:rPr>
          <w:rFonts w:cs="Arial"/>
          <w:sz w:val="22"/>
        </w:rPr>
      </w:pPr>
      <w:r>
        <w:rPr>
          <w:rFonts w:cs="Arial"/>
          <w:sz w:val="22"/>
        </w:rPr>
        <w:t>Mitteilung von Fahrzeugnummern und Einbauorten</w:t>
      </w:r>
    </w:p>
    <w:p w14:paraId="47A15FA5" w14:textId="77777777" w:rsidR="00CA2BD5" w:rsidRPr="00D12263" w:rsidRDefault="00667DFE" w:rsidP="00B90D81">
      <w:pPr>
        <w:pStyle w:val="Aufzhlungszeichen"/>
        <w:tabs>
          <w:tab w:val="clear" w:pos="360"/>
          <w:tab w:val="num" w:pos="927"/>
        </w:tabs>
        <w:ind w:left="927"/>
        <w:rPr>
          <w:rFonts w:cs="Arial"/>
          <w:sz w:val="22"/>
        </w:rPr>
      </w:pPr>
      <w:r>
        <w:rPr>
          <w:rFonts w:cs="Arial"/>
          <w:sz w:val="22"/>
        </w:rPr>
        <w:t>Bereitstellung vorhandener Betriebs- und Störungsdaten</w:t>
      </w:r>
    </w:p>
    <w:p w14:paraId="14DF265E" w14:textId="0DCD6DC2" w:rsidR="00CA2BD5" w:rsidRDefault="00667DFE" w:rsidP="0019693B">
      <w:pPr>
        <w:pStyle w:val="Aufzhlungszeichen"/>
        <w:tabs>
          <w:tab w:val="clear" w:pos="360"/>
          <w:tab w:val="num" w:pos="927"/>
        </w:tabs>
        <w:ind w:left="927"/>
        <w:rPr>
          <w:rFonts w:cs="Arial"/>
          <w:sz w:val="22"/>
          <w:lang w:val="de-DE"/>
        </w:rPr>
      </w:pPr>
      <w:r>
        <w:rPr>
          <w:rFonts w:cs="Arial"/>
          <w:sz w:val="22"/>
          <w:lang w:val="de-DE"/>
        </w:rPr>
        <w:t>vereinbarter Ein- und Ausbauleistungen am Fahrzeug</w:t>
      </w:r>
    </w:p>
    <w:p w14:paraId="4B34137B" w14:textId="40379B5E" w:rsidR="0019693B" w:rsidRPr="0019693B" w:rsidRDefault="0019693B" w:rsidP="0019693B">
      <w:pPr>
        <w:pStyle w:val="LutE-LvL2-Heading"/>
      </w:pPr>
      <w:r>
        <w:t>Der AG stellt dem AN vorhandene Informationen zu den vereinbarten Terminen zur Verfügung. Sofern keine Termine festgelegt sind, erfolgt die Bereitstellung innerhalb einer angemessenen Frist nach entsprechender Anforderung durch den AN, mindestens in Textform.</w:t>
      </w:r>
    </w:p>
    <w:p w14:paraId="16352277" w14:textId="289025CA" w:rsidR="0019693B" w:rsidRPr="000D39AD" w:rsidRDefault="0019693B" w:rsidP="0019693B">
      <w:pPr>
        <w:pStyle w:val="LutE-LvL2-Heading"/>
      </w:pPr>
      <w:r>
        <w:t>Soweit gesetzliche oder behördliche Anforderungen ausschließlich den AG betreffen, etwa im Rahmen von Verwaltungsverfahren, an denen der AN nicht beteiligt ist, stellt der AG dem AN die daraus resultierenden Anforderungen zur Verfügung.</w:t>
      </w:r>
    </w:p>
    <w:p w14:paraId="14637014" w14:textId="5141C524" w:rsidR="00FD650A" w:rsidRPr="00FD650A" w:rsidRDefault="00FD650A" w:rsidP="00B90D81">
      <w:pPr>
        <w:pStyle w:val="LutE-LvL2-Heading"/>
      </w:pPr>
      <w:r>
        <w:t>Weitere Mitwirkungsobliegenheiten des AG können vom AN im Rahmen der Pflichtenhefterstellung vorgeschlagen werden, soweit diese die in den Vertragsunterlagen festgelegten Leistungspflichten des AN nicht erweitern, einschränken oder anderweitig verändern. Der AG prüft derartige Vorschläge nach pflichtgemäßem Ermessen auf Plausibilität und Umsetzbarkeit und entscheidet über deren Aufnahme in das Pflichtenheft. Ein Anspruch des AN auf Gewährung oder Aufnahme solcher Mitwirkungsobliegenheiten besteht nicht. Die Ablehnung vorgeschlagener Mitwirkungsobliegenheiten berechtigt den AN weder zur Anpassung der Vergütung noch zur Geltendmachung von Mehrkosten. Insbesondere bleiben die im Preisblatt (Anlage 02) ausgewiesenen Preise für die Gesamtlösung hiervon unberührt.</w:t>
      </w:r>
    </w:p>
    <w:p w14:paraId="5CC1FEF0" w14:textId="240DC653" w:rsidR="002D021F" w:rsidRPr="00D12263" w:rsidRDefault="0087228C" w:rsidP="00B90D81">
      <w:pPr>
        <w:pStyle w:val="LutE-LvL1-Heading"/>
      </w:pPr>
      <w:bookmarkStart w:id="29" w:name="_Toc242102381"/>
      <w:r>
        <w:lastRenderedPageBreak/>
        <w:t>Änderungen der Leistung durch den Auftragnehmer</w:t>
      </w:r>
      <w:bookmarkEnd w:id="29"/>
    </w:p>
    <w:p w14:paraId="08BE2A46" w14:textId="75450817" w:rsidR="00252D7F" w:rsidRPr="00D12263" w:rsidRDefault="0019693B" w:rsidP="00B90D81">
      <w:pPr>
        <w:pStyle w:val="LutE-LvL2-Heading"/>
      </w:pPr>
      <w:r>
        <w:t>Der AN ist nicht berechtigt, von dem im Pflichtenheft festgelegten technischen Stand oder den dort definierten Anforderungen abzuweichen oder technische Änderungen an Hardware, Softwareständen oder Schnittstellen ohne vorherige schriftliche Zustimmung des AG vorzunehmen. Der AN hat technische Änderungen vollständig zu dokumentieren und dem AG vor Umsetzung mitzuteilen.</w:t>
      </w:r>
    </w:p>
    <w:p w14:paraId="3C559267" w14:textId="1E24DE8F" w:rsidR="0019693B" w:rsidRPr="00B90D81" w:rsidRDefault="0019693B" w:rsidP="0019693B">
      <w:pPr>
        <w:pStyle w:val="LutE-LvL2-Heading"/>
      </w:pPr>
      <w:r>
        <w:t>Der AN hat beabsichtigte technische Änderungen vor deren Umsetzung vollständig zu dokumentieren und dem AG rechtzeitig schriftlich anzuzeigen. Die Anzeige hat mindestens folgende Angaben zu enthalten:</w:t>
      </w:r>
    </w:p>
    <w:p w14:paraId="39DE58A7" w14:textId="77777777" w:rsidR="0019693B" w:rsidRPr="00B90D81" w:rsidRDefault="0019693B" w:rsidP="00B90D81">
      <w:pPr>
        <w:pStyle w:val="Aufzhlungszeichen"/>
        <w:tabs>
          <w:tab w:val="clear" w:pos="360"/>
          <w:tab w:val="num" w:pos="927"/>
        </w:tabs>
        <w:ind w:left="927"/>
        <w:rPr>
          <w:rFonts w:cs="Arial"/>
          <w:sz w:val="22"/>
        </w:rPr>
      </w:pPr>
      <w:r>
        <w:rPr>
          <w:rFonts w:cs="Arial"/>
          <w:sz w:val="22"/>
        </w:rPr>
        <w:t>Beschreibung der geplanten Änderung,</w:t>
      </w:r>
    </w:p>
    <w:p w14:paraId="21FBD357" w14:textId="77777777" w:rsidR="0019693B" w:rsidRPr="00B90D81" w:rsidRDefault="0019693B" w:rsidP="00B90D81">
      <w:pPr>
        <w:pStyle w:val="Aufzhlungszeichen"/>
        <w:tabs>
          <w:tab w:val="clear" w:pos="360"/>
          <w:tab w:val="num" w:pos="927"/>
        </w:tabs>
        <w:ind w:left="927"/>
        <w:rPr>
          <w:rFonts w:cs="Arial"/>
          <w:sz w:val="22"/>
          <w:lang w:val="de-DE"/>
        </w:rPr>
      </w:pPr>
      <w:r>
        <w:rPr>
          <w:rFonts w:cs="Arial"/>
          <w:sz w:val="22"/>
          <w:lang w:val="de-DE"/>
        </w:rPr>
        <w:t>Anlass und Begründung der Änderung,</w:t>
      </w:r>
    </w:p>
    <w:p w14:paraId="54E76DD2" w14:textId="77777777" w:rsidR="0019693B" w:rsidRPr="00B90D81" w:rsidRDefault="0019693B" w:rsidP="00B90D81">
      <w:pPr>
        <w:pStyle w:val="Aufzhlungszeichen"/>
        <w:tabs>
          <w:tab w:val="clear" w:pos="360"/>
          <w:tab w:val="num" w:pos="927"/>
        </w:tabs>
        <w:ind w:left="927"/>
        <w:rPr>
          <w:rFonts w:cs="Arial"/>
          <w:sz w:val="22"/>
          <w:lang w:val="de-DE"/>
        </w:rPr>
      </w:pPr>
      <w:r>
        <w:rPr>
          <w:rFonts w:cs="Arial"/>
          <w:sz w:val="22"/>
          <w:lang w:val="de-DE"/>
        </w:rPr>
        <w:t>betroffene Baugruppen, Komponenten, Softwarestände oder Fahrzeuge,</w:t>
      </w:r>
    </w:p>
    <w:p w14:paraId="4D6CFA7D" w14:textId="77777777" w:rsidR="0019693B" w:rsidRPr="00B90D81" w:rsidRDefault="0019693B" w:rsidP="00B90D81">
      <w:pPr>
        <w:pStyle w:val="Aufzhlungszeichen"/>
        <w:tabs>
          <w:tab w:val="clear" w:pos="360"/>
          <w:tab w:val="num" w:pos="927"/>
        </w:tabs>
        <w:ind w:left="927"/>
        <w:rPr>
          <w:rFonts w:cs="Arial"/>
          <w:sz w:val="22"/>
          <w:lang w:val="de-DE"/>
        </w:rPr>
      </w:pPr>
      <w:r>
        <w:rPr>
          <w:rFonts w:cs="Arial"/>
          <w:sz w:val="22"/>
          <w:lang w:val="de-DE"/>
        </w:rPr>
        <w:t>Auswirkungen auf Funktionalität, Betriebssicherheit und Zulassungen,</w:t>
      </w:r>
    </w:p>
    <w:p w14:paraId="68D26825" w14:textId="77777777" w:rsidR="0019693B" w:rsidRPr="00B90D81" w:rsidRDefault="0019693B" w:rsidP="00B90D81">
      <w:pPr>
        <w:pStyle w:val="Aufzhlungszeichen"/>
        <w:tabs>
          <w:tab w:val="clear" w:pos="360"/>
          <w:tab w:val="num" w:pos="927"/>
        </w:tabs>
        <w:ind w:left="927"/>
        <w:rPr>
          <w:rFonts w:cs="Arial"/>
          <w:sz w:val="22"/>
          <w:lang w:val="de-DE"/>
        </w:rPr>
      </w:pPr>
      <w:r>
        <w:rPr>
          <w:rFonts w:cs="Arial"/>
          <w:sz w:val="22"/>
          <w:lang w:val="de-DE"/>
        </w:rPr>
        <w:t>Auswirkungen auf die Ersatzteilversorgung und Ersatzteilhaltung,</w:t>
      </w:r>
    </w:p>
    <w:p w14:paraId="6AF2525E" w14:textId="77777777" w:rsidR="0019693B" w:rsidRPr="00B90D81" w:rsidRDefault="0019693B" w:rsidP="00B90D81">
      <w:pPr>
        <w:pStyle w:val="Aufzhlungszeichen"/>
        <w:tabs>
          <w:tab w:val="clear" w:pos="360"/>
          <w:tab w:val="num" w:pos="927"/>
        </w:tabs>
        <w:ind w:left="927"/>
        <w:rPr>
          <w:rFonts w:cs="Arial"/>
          <w:sz w:val="22"/>
          <w:lang w:val="de-DE"/>
        </w:rPr>
      </w:pPr>
      <w:r>
        <w:rPr>
          <w:rFonts w:cs="Arial"/>
          <w:sz w:val="22"/>
          <w:lang w:val="de-DE"/>
        </w:rPr>
        <w:t>Auswirkungen auf die technische Dokumentation,</w:t>
      </w:r>
    </w:p>
    <w:p w14:paraId="6D4ED4CF" w14:textId="77777777" w:rsidR="0019693B" w:rsidRPr="00B563AC" w:rsidRDefault="0019693B" w:rsidP="00164B79">
      <w:pPr>
        <w:pStyle w:val="Aufzhlungszeichen"/>
        <w:tabs>
          <w:tab w:val="num" w:pos="2104"/>
        </w:tabs>
        <w:ind w:left="927"/>
        <w:rPr>
          <w:lang w:val="de-DE"/>
        </w:rPr>
      </w:pPr>
      <w:r>
        <w:rPr>
          <w:lang w:val="de-DE"/>
        </w:rPr>
        <w:t>Nachweis der Kompatibilität mit den vertragsgegenständlichen Systemen und Komponenten.</w:t>
      </w:r>
    </w:p>
    <w:p w14:paraId="0447025D" w14:textId="077AD7C3" w:rsidR="0019693B" w:rsidRPr="00B90D81" w:rsidRDefault="0019693B" w:rsidP="0019693B">
      <w:pPr>
        <w:pStyle w:val="LutE-LvL2-Heading"/>
      </w:pPr>
      <w:r>
        <w:t>Die Lieferung, der Einbau oder die sonstige Verwendung geänderter Baugruppen, Bauteile, Softwarestände oder Ersatzkomponenten ist erst nach schriftlicher Freigabe durch den AG zulässig.</w:t>
      </w:r>
    </w:p>
    <w:p w14:paraId="33325253" w14:textId="152413EB" w:rsidR="0019693B" w:rsidRDefault="0019693B" w:rsidP="0019693B">
      <w:pPr>
        <w:pStyle w:val="LutE-LvL2-Heading"/>
      </w:pPr>
      <w:r>
        <w:t>Sicherheitsrelevante Änderungen, insbesondere solche mit Auswirkungen auf die Cybersicherheit oder die Einhaltung gesetzlicher Anforderungen, einschließlich der Vorgaben des Cyber Resilience Act (CRA), sind zusätzlich gemäß Ziffer 10 (Qualitätsmanagement, Informationssicherheit, CRA und KRITIS) zu behandeln.</w:t>
      </w:r>
    </w:p>
    <w:p w14:paraId="24B518E2" w14:textId="790A6474" w:rsidR="00FD650A" w:rsidRPr="00D12263" w:rsidRDefault="00FD650A" w:rsidP="00FD650A">
      <w:pPr>
        <w:pStyle w:val="LutE-LvL1-Heading"/>
      </w:pPr>
      <w:bookmarkStart w:id="30" w:name="_Toc242102382"/>
      <w:r>
        <w:t>Änderungen der Leistung durch den Auftraggeber</w:t>
      </w:r>
      <w:bookmarkEnd w:id="30"/>
    </w:p>
    <w:p w14:paraId="06843759" w14:textId="22E56021" w:rsidR="00FD650A" w:rsidRPr="000D39AD" w:rsidRDefault="00FD650A" w:rsidP="00FD650A">
      <w:pPr>
        <w:pStyle w:val="LutE-LvL2-Heading"/>
      </w:pPr>
      <w:r>
        <w:t>Der AG kann jederzeit Änderungen der vereinbarten Leistungen verlangen. Dies betrifft insbesondere Erweiterungen oder Reduzierungen des Leistungsumfangs, Terminänderungen sowie die Beauftragung zusätzlicher Leistungen. Änderungsverlangen sind in Textform einzureichen und müssen die beabsichtigte Änderung hinreichend konkret beschreiben. Der AN unterstützt den AG bei Bedarf in angemessenem Umfang bei der Ausarbeitung des Änderungsverlangens. Für die Abwicklung des Änderungsverfahrens stellt der AG zu Beginn der Vertragsdurchführung ein geeignetes Formular zur Verfügung.</w:t>
      </w:r>
    </w:p>
    <w:p w14:paraId="194C0B67" w14:textId="0186D80E" w:rsidR="00FD650A" w:rsidRPr="000D39AD" w:rsidRDefault="00FD650A" w:rsidP="00FD650A">
      <w:pPr>
        <w:pStyle w:val="LutE-LvL2-Heading"/>
      </w:pPr>
      <w:r>
        <w:t xml:space="preserve">Nach Zugang des Änderungsverlangens prüft der AN die beantragte Änderung und übermittelt dem AG innerhalb von zwei (2) Wochen, sofern keine andere Frist vereinbart wurde, ein entsprechendes Angebot. Das Angebot muss die Auswirkungen auf die </w:t>
      </w:r>
      <w:r>
        <w:lastRenderedPageBreak/>
        <w:t>vertraglichen Vereinbarungen vollständig darstellen. Dies umfasst insbesondere Auswirkungen auf Leistungsumfang, Termine, Vergütung, Mitwirkungsleistungen, Beistellungen sowie sonstige Voraussetzungen und Folgen der Umsetzung. Die Angebotserstellung hat entsprechend der Vorgaben des AG entweder auf Aufwandsbasis oder als Festpreisangebot zu erfolgen. Bei einer Festpreisvergütung ist die Kalkulation transparent und nachvollziehbar offenzulegen. Diese Regelungen gelten gleichermaßen bei einer Verringerung des Leistungsumfangs.</w:t>
      </w:r>
    </w:p>
    <w:p w14:paraId="155E3F7E" w14:textId="2D1B4C5B" w:rsidR="00FD650A" w:rsidRPr="000D39AD" w:rsidRDefault="00FD650A" w:rsidP="00FD650A">
      <w:pPr>
        <w:pStyle w:val="LutE-LvL2-Heading"/>
      </w:pPr>
      <w:r>
        <w:t>Der AN hat sein Angebot mit einer Bindefrist von mindestens vier (4) Wochen zu versehen.</w:t>
      </w:r>
    </w:p>
    <w:p w14:paraId="5BB68CC7" w14:textId="307534C5" w:rsidR="00FD650A" w:rsidRPr="000D39AD" w:rsidRDefault="00FD650A" w:rsidP="00FD650A">
      <w:pPr>
        <w:pStyle w:val="LutE-LvL2-Heading"/>
      </w:pPr>
      <w:r>
        <w:t>Ist dem AN die Einhaltung der in Ziffer 20.2 genannten Frist aufgrund des Umfangs oder der Komplexität der angefragten Änderung nicht möglich, hat er den AG hierüber unverzüglich zu informieren. Dabei sind die Gründe für die Verzögerung sowie die zusätzlich benötigte Bearbeitungszeit nachvollziehbar darzustellen. Einer sachlich gerechtfertigten und angemessenen Verlängerung der Bearbeitungsfrist wird der AG nicht widersprechen.</w:t>
      </w:r>
    </w:p>
    <w:p w14:paraId="05439D7E" w14:textId="13E0ED84" w:rsidR="00FD650A" w:rsidRPr="000D39AD" w:rsidRDefault="00FD650A" w:rsidP="00FD650A">
      <w:pPr>
        <w:pStyle w:val="LutE-LvL2-Heading"/>
      </w:pPr>
      <w:r>
        <w:t>Der AN ist verpflichtet, ein Änderungsangebot zu erstellen, soweit ihm dies zumutbar ist. Hält er die verlangte Änderung für unzumutbar, hat er dies dem AG unverzüglich in Textform mitzuteilen und die maßgeblichen Gründe darzulegen. Über eine Befreiung von der Verpflichtung zur Angebotsabgabe entscheidet der AG nach billigem Ermessen.</w:t>
      </w:r>
    </w:p>
    <w:p w14:paraId="0DFD8D2B" w14:textId="46CD457A" w:rsidR="00FD650A" w:rsidRPr="000D39AD" w:rsidRDefault="00FD650A" w:rsidP="00FD650A">
      <w:pPr>
        <w:pStyle w:val="LutE-LvL2-Heading"/>
      </w:pPr>
      <w:r>
        <w:t>Nach Vorlage des Angebots prüft der AG dessen Inhalt und teilt dem AN seine Entscheidung mit. Kommt eine Einigung zustande, werden die Änderungen durch den Abschluss einer schriftlichen Nachtragsvereinbarung Vertragsbestandteil.</w:t>
      </w:r>
    </w:p>
    <w:p w14:paraId="17CE70D2" w14:textId="77777777" w:rsidR="00FD650A" w:rsidRPr="000D39AD" w:rsidRDefault="00FD650A" w:rsidP="00FD650A">
      <w:pPr>
        <w:pStyle w:val="LutE-LvL2-Heading"/>
      </w:pPr>
      <w:r>
        <w:t>Jede Partei trägt die im Zusammenhang mit dem Änderungsverfahren entstehenden Kosten und Aufwendungen selbst.</w:t>
      </w:r>
    </w:p>
    <w:p w14:paraId="5597DA97" w14:textId="404B6C8B" w:rsidR="002D021F" w:rsidRPr="00D12263" w:rsidRDefault="0087228C" w:rsidP="00D12263">
      <w:pPr>
        <w:pStyle w:val="LutE-LvL1-Heading"/>
        <w:rPr>
          <w:rFonts w:cs="Arial"/>
        </w:rPr>
      </w:pPr>
      <w:bookmarkStart w:id="31" w:name="_Toc242102383"/>
      <w:r>
        <w:rPr>
          <w:rFonts w:cs="Arial"/>
        </w:rPr>
        <w:t>Vertragsbeginn und -beendigung</w:t>
      </w:r>
      <w:bookmarkEnd w:id="31"/>
    </w:p>
    <w:p w14:paraId="76969F2F" w14:textId="34D72DA2" w:rsidR="00435AA4" w:rsidRPr="00615EAD" w:rsidRDefault="00435AA4" w:rsidP="00435AA4">
      <w:pPr>
        <w:pStyle w:val="LutE-LvL2-Heading"/>
      </w:pPr>
      <w:r>
        <w:t>Der Vertrag tritt mit Zuschlagserteilung in Kraft.</w:t>
      </w:r>
    </w:p>
    <w:p w14:paraId="0B65CE48" w14:textId="40B34A55" w:rsidR="00435AA4" w:rsidRPr="00615EAD" w:rsidRDefault="00435AA4" w:rsidP="00435AA4">
      <w:pPr>
        <w:pStyle w:val="LutE-LvL2-Heading"/>
      </w:pPr>
      <w:r>
        <w:t xml:space="preserve">Der Vertrag hat eine Laufzeit bis zum Ende der </w:t>
      </w:r>
      <w:r>
        <w:rPr>
          <w:b/>
          <w:bCs/>
          <w:u w:val="single"/>
        </w:rPr>
        <w:t>vereinbarten Servicephase</w:t>
      </w:r>
      <w:r>
        <w:t>. Die Servicephase beginnt mit der Freigabe der Geräte der Testphase und endet zum 31.12.2045.</w:t>
      </w:r>
    </w:p>
    <w:p w14:paraId="0F8E6E16" w14:textId="6E934487" w:rsidR="005C4FC8" w:rsidRDefault="00435AA4" w:rsidP="00435AA4">
      <w:pPr>
        <w:pStyle w:val="LutE-LvL2-Heading"/>
      </w:pPr>
      <w:r>
        <w:t xml:space="preserve">Eine Kündigung des AN nach § 643 BGB ist ausgeschlossen. </w:t>
      </w:r>
    </w:p>
    <w:p w14:paraId="108D3CDF" w14:textId="2E33E322" w:rsidR="005C4FC8" w:rsidRDefault="00435AA4" w:rsidP="00435AA4">
      <w:pPr>
        <w:pStyle w:val="LutE-LvL2-Heading"/>
      </w:pPr>
      <w:r>
        <w:t xml:space="preserve">Das Recht zur außerordentlichen Kündigung aus wichtigem Grund bleibt unberührt. Ein wichtiger Grund zur außerordentlichen Kündigung des Vertrags durch den AG liegt unter anderem dann vor, wenn der AN vertragliche Verpflichtungen in einer Weise verletzt, die dem AG die Fortsetzung des Vertragsverhältnisses unzumutbar macht oder wenn der AN seine </w:t>
      </w:r>
      <w:r>
        <w:lastRenderedPageBreak/>
        <w:t xml:space="preserve">Zahlungen einstellt. Etwaige gesetzliche Mahn- oder Abmahnerfordernisse vor Ausspruch einer außerordentlichen Kündigung bleiben für beide Parteien unberührt. </w:t>
      </w:r>
    </w:p>
    <w:p w14:paraId="0DCB5F2F" w14:textId="717356BB" w:rsidR="005C4FC8" w:rsidRDefault="005C4FC8" w:rsidP="00435AA4">
      <w:pPr>
        <w:pStyle w:val="LutE-LvL2-Heading"/>
      </w:pPr>
      <w:r>
        <w:t xml:space="preserve">Hat der AN die außerordentliche Kündigung zu vertreten, so ist der AG zu einer Vergütung der bis zur Kündigung erbrachten Leistungen nur insoweit verpflichtet, als diese für den AG von Interesse sind. Schadenersatzansprüche der Parteien bleiben unberührt. </w:t>
      </w:r>
    </w:p>
    <w:p w14:paraId="674B3E67" w14:textId="77777777" w:rsidR="005C4FC8" w:rsidRDefault="00435AA4" w:rsidP="00435AA4">
      <w:pPr>
        <w:pStyle w:val="LutE-LvL2-Heading"/>
      </w:pPr>
      <w:r>
        <w:t xml:space="preserve">§ 133 GWB bleibt unberührt. </w:t>
      </w:r>
    </w:p>
    <w:p w14:paraId="60198DA5" w14:textId="223FBEBC" w:rsidR="005C4FC8" w:rsidRDefault="00435AA4" w:rsidP="005C4FC8">
      <w:pPr>
        <w:pStyle w:val="LutE-LvL2-Heading"/>
      </w:pPr>
      <w:r>
        <w:t>Bei Vertragsbeendigung übergibt der AN dem AG die Leistungen in dem Zustand, wie sie bei Vertragsbeendigung vertragsgemäß vorliegen müssen. Darüber hinaus hat der AN einen vollständigen Auszug aus dem elektronischen System oder Onlineportal des AG zu übergeben (sofern vorhanden). In diesem Fall hat der AG nur die vom AN bis zum Wirksamwerden der Kündigung erbrachten Leistungen sowie nachweislich im berechtigten Vertrauen auf den Fortbestand des Vertrags bereits beschaffte Sach- und Personalleistungen zu vergüten.</w:t>
      </w:r>
    </w:p>
    <w:p w14:paraId="1C6AE9F8" w14:textId="6731DDEA" w:rsidR="005C4FC8" w:rsidRPr="005E3E67" w:rsidRDefault="005C4FC8" w:rsidP="001F3A07">
      <w:pPr>
        <w:pStyle w:val="LutE-LvL2-Heading"/>
      </w:pPr>
      <w:r>
        <w:rPr>
          <w:lang w:eastAsia="de-DE"/>
        </w:rPr>
        <w:t>Im Falle der Beendigung des Vertrags, gleich aus welchem Rechtsgrund, hat der AN dem AG sämtliche für den Betrieb, und die Weiterführung der vertragsgegenständlichen Leistungen erforderlichen Unterlagen, Zeichnungen, Softwarestände, Konfigurationsdaten, Prüf- und Nachweisdokumente sowie sonstigen Informationen und Dokumentationen vollständig und unverzüglich herauszugeben, soweit dem keine zwingenden gesetzlichen oder rechtlichen Hindernisse entgegenstehen.</w:t>
      </w:r>
    </w:p>
    <w:p w14:paraId="62C3602B" w14:textId="3B078A6B" w:rsidR="00435AA4" w:rsidRDefault="00435AA4" w:rsidP="005C4FC8">
      <w:pPr>
        <w:pStyle w:val="LutE-LvL2-Heading"/>
      </w:pPr>
      <w:r>
        <w:t>Beendigungsunterstützung: Auf Wunsch des AG erbringt der AN in angemessenem Umfang für einen Zeitraum von maximal zwölf (12) Monaten nach Ausspruch einer Kündigung (unabhängig vom Kündigungsgrund und davon, welche Partei gekündigt hat) Leistungen zur Unterstützung der Übernahme der Leistungen durch den AG oder einen von diesem bestimmten Dritten. Die Beendigungsunterstützung wird als Leistungsänderung gemäß Ziffer 20 des Vertrags vereinbart und nach Vorgabe des AG als Festpreis oder auf Basis des anfallenden Aufwands beauftragt. Im Falle einer berechtigten Kündigung des AG aus wichtigem, vom AN zu vertretendem Grund hat der AN die Beendigungsunterstützung im Rahmen der vereinbarten Haftungsgrenzen unentgeltlich zu erbringen. Der Wert der Beendigungsunterstützung bemisst sich nach der dann abgeschlossenen Änderungsvereinbarung.</w:t>
      </w:r>
    </w:p>
    <w:p w14:paraId="34AEECB1" w14:textId="0FB5E3E0" w:rsidR="005C4FC8" w:rsidRDefault="005C4FC8" w:rsidP="00B90D81">
      <w:pPr>
        <w:pStyle w:val="LutE-LvL1-Heading"/>
      </w:pPr>
      <w:bookmarkStart w:id="32" w:name="_Toc242102384"/>
      <w:r>
        <w:t>Zurückbehaltungsrechte und Leistungsverweigerungsrechte des Auftragnehmers</w:t>
      </w:r>
      <w:bookmarkEnd w:id="32"/>
      <w:r>
        <w:t xml:space="preserve"> </w:t>
      </w:r>
    </w:p>
    <w:p w14:paraId="0B7A5CEE" w14:textId="10FD4077" w:rsidR="005C4FC8" w:rsidRPr="005C4FC8" w:rsidRDefault="005C4FC8" w:rsidP="00B90D81">
      <w:pPr>
        <w:pStyle w:val="LutE-LvL2-Heading"/>
      </w:pPr>
      <w:r>
        <w:rPr>
          <w:rStyle w:val="LutE-LvL2-HeadingChar"/>
        </w:rPr>
        <w:t xml:space="preserve">Zurückbehaltungs- und Leistungsverweigerungsrechte des AN sind ausgeschlossen, es sei denn, der AG bestreitet die zugrunde liegenden Gegenansprüche nicht oder diese sind </w:t>
      </w:r>
      <w:r>
        <w:rPr>
          <w:rStyle w:val="LutE-LvL2-HeadingChar"/>
        </w:rPr>
        <w:lastRenderedPageBreak/>
        <w:t>rechtskräftig festgestellt. Ein Zurückbehaltungsrecht an vertraulichen Informationen und personenbezogenen Daten des AG ist generell ausgeschlossen.</w:t>
      </w:r>
    </w:p>
    <w:p w14:paraId="5CB2727B" w14:textId="77777777" w:rsidR="00C20449" w:rsidRPr="00C20449" w:rsidRDefault="00C20449" w:rsidP="00B90D81">
      <w:pPr>
        <w:pStyle w:val="LutE-LvL1-Heading"/>
      </w:pPr>
      <w:bookmarkStart w:id="33" w:name="_Toc242102385"/>
      <w:r>
        <w:t>Datenschutz</w:t>
      </w:r>
      <w:bookmarkEnd w:id="33"/>
    </w:p>
    <w:p w14:paraId="517656FF" w14:textId="7AFDBCD0" w:rsidR="003F2B34" w:rsidRDefault="003F2B34" w:rsidP="003F2B34">
      <w:pPr>
        <w:pStyle w:val="LutE-LvL2-Heading"/>
      </w:pPr>
      <w:r>
        <w:t xml:space="preserve">Die Parteien verpflichten sich, die einschlägigen datenschutzrechtlichen Bestimmungen, insbesondere der Datenschutzgrundverordnung (DSGVO) und des Bundesdatenschutzgesetzes (BDSG) einzuhalten. </w:t>
      </w:r>
    </w:p>
    <w:p w14:paraId="43F454C5" w14:textId="59F00AAB" w:rsidR="003F2B34" w:rsidRPr="00615EAD" w:rsidRDefault="003F2B34" w:rsidP="003F2B34">
      <w:pPr>
        <w:pStyle w:val="LutE-LvL2-Heading"/>
      </w:pPr>
      <w:r>
        <w:t xml:space="preserve">Der AN hat dem AG die von ihm getroffenen technischen und </w:t>
      </w:r>
      <w:r>
        <w:br/>
        <w:t>organisatorischen Maßnahmen zum Datenschutz auf Anfrage nachzuweisen.</w:t>
      </w:r>
    </w:p>
    <w:p w14:paraId="0F64E522" w14:textId="795D39A4" w:rsidR="003F2B34" w:rsidRPr="00615EAD" w:rsidRDefault="003F2B34" w:rsidP="003F2B34">
      <w:pPr>
        <w:pStyle w:val="LutE-LvL2-Heading"/>
      </w:pPr>
      <w:r>
        <w:t>Der AN wird seine im Rahmen dieses Vertrags tätigen Mitarbeiter sowie Nachunternehmer schriftlich zur Einhaltung der datenschutzrechtlichen Anforderungen verpflichten und seine Mitarbeiter über die Regelungen zum Datenschutz unterrichten. Die Einhaltung dieser Verpflichtungen ist dem AG auf Nachfrage nachzuweisen.</w:t>
      </w:r>
    </w:p>
    <w:p w14:paraId="2CB6FB7B" w14:textId="04B522E6" w:rsidR="003F2B34" w:rsidRPr="00615EAD" w:rsidRDefault="003F2B34" w:rsidP="003F2B34">
      <w:pPr>
        <w:pStyle w:val="LutE-LvL2-Heading"/>
      </w:pPr>
      <w:r>
        <w:t>Der AG weist darauf hin, dass er personenbezogene Daten des vom AN eingesetzten Personals verarbeiten wird. Es handelt sich grundsätzlich um Namen und dienstliche Kontaktdaten des Personals. Zweck der Daten-verarbeitung ist das berechtigte Interesse des AG nach Art. 6 Abs. 1 lit. f) DSGVO an der Durchführung dieses Vertrags, einem Geschäftspartner- und Lieferantenmanagement sowie der Sicherstellung der IT-Sicherheit der IT-Systeme des AG. Der AN ist verpflichtet, das zur Erfüllung dieses Vertrags eingesetzte Personal über diese Datenspeicherung zu informieren und seinen Nachauftragnehmern eine gleichartige Verpflichtung aufzuerlegen.</w:t>
      </w:r>
    </w:p>
    <w:p w14:paraId="63487179" w14:textId="77777777" w:rsidR="00C20449" w:rsidRPr="00C20449" w:rsidRDefault="00C20449" w:rsidP="00B90D81">
      <w:pPr>
        <w:pStyle w:val="LutE-LvL1-Heading"/>
      </w:pPr>
      <w:bookmarkStart w:id="34" w:name="_Toc242102386"/>
      <w:r>
        <w:t>Vertraulichkeit</w:t>
      </w:r>
      <w:bookmarkEnd w:id="34"/>
    </w:p>
    <w:p w14:paraId="6D361EE6" w14:textId="7D7ACC22" w:rsidR="00C20449" w:rsidRPr="00B90D81" w:rsidRDefault="00C20449" w:rsidP="00C20449">
      <w:pPr>
        <w:pStyle w:val="LutE-LvL2-Heading"/>
      </w:pPr>
      <w:r>
        <w:t>Der Umgang mit vertraulichen Informationen sowie die Bestimmung, was als vertrauliche Informationen gilt, wird in einer gesonderten Vertraulichkeitsvereinbarung geregelt, die diesem Vertrag als Anlage 04 beigefügt ist.</w:t>
      </w:r>
    </w:p>
    <w:p w14:paraId="779184D3" w14:textId="732557E8" w:rsidR="006C41F8" w:rsidRPr="00D12263" w:rsidRDefault="00C20449" w:rsidP="00B90D81">
      <w:pPr>
        <w:pStyle w:val="LutE-LvL2-Heading"/>
      </w:pPr>
      <w:r>
        <w:t>Verstößt eine Partei gegen die in dieser Vereinbarung festgelegten Vertraulichkeitsverpflichtungen, ist die jeweils andere Partei berechtigt, eine Vertragsstrafe zu verlangen. Deren Höhe wird von der verletzten Partei nach billigem Ermessen gemäß § 315 BGB bestimmt und kann im Streitfall gerichtlich überprüft werden. Die Verpflichtung zur Zahlung der Vertragsstrafe entfällt, wenn die in Anspruch genommene Partei nachweist, dass weder sie selbst noch von ihr eingesetzte Dritte die Verletzung der Vertraulichkeit schuldhaft verursacht haben. Weitergehende Ansprüche der betroffenen Partei bleiben hiervon unberührt.</w:t>
      </w:r>
    </w:p>
    <w:p w14:paraId="609B74F8" w14:textId="77777777" w:rsidR="005C4FC8" w:rsidRPr="000A4B0A" w:rsidRDefault="005C4FC8" w:rsidP="005C4FC8">
      <w:pPr>
        <w:pStyle w:val="LutE-LvL1-Heading"/>
      </w:pPr>
      <w:bookmarkStart w:id="35" w:name="_Toc236835703"/>
      <w:bookmarkStart w:id="36" w:name="_Toc242102387"/>
      <w:r>
        <w:lastRenderedPageBreak/>
        <w:t>Höhere Gewalt</w:t>
      </w:r>
      <w:bookmarkEnd w:id="35"/>
      <w:bookmarkEnd w:id="36"/>
    </w:p>
    <w:p w14:paraId="46E32C94" w14:textId="77777777" w:rsidR="005C4FC8" w:rsidRPr="004929FA" w:rsidRDefault="005C4FC8" w:rsidP="005C4FC8">
      <w:pPr>
        <w:pStyle w:val="LutE-LvL2-Heading"/>
        <w:rPr>
          <w:lang w:eastAsia="de-DE"/>
        </w:rPr>
      </w:pPr>
      <w:r>
        <w:rPr>
          <w:lang w:eastAsia="de-DE"/>
        </w:rPr>
        <w:t>Im Falle höherer Gewalt sind beide Parteien von ihren jeweiligen Leistungspflichten befreit. Als Fälle höherer Gewalt gelten insbesondere folgende Umstände:</w:t>
      </w:r>
    </w:p>
    <w:p w14:paraId="1432057B" w14:textId="77777777" w:rsidR="005C4FC8" w:rsidRDefault="005C4FC8" w:rsidP="005C4FC8">
      <w:pPr>
        <w:pStyle w:val="LutE-LvL3-Heading"/>
      </w:pPr>
      <w:r>
        <w:t>Krieg, Meuterei, Blockade, Embargo, Seuchen sowie Pandemien (nach Einstufung durch die Weltgesundheitsorganisation), sofern der AN glaubhaft und nachvollziehbar darlegen kann, dass er hierdurch konkret betroffen ist,</w:t>
      </w:r>
    </w:p>
    <w:p w14:paraId="5E08FFBF" w14:textId="77777777" w:rsidR="005C4FC8" w:rsidRDefault="005C4FC8" w:rsidP="005C4FC8">
      <w:pPr>
        <w:pStyle w:val="LutE-LvL3-Heading"/>
      </w:pPr>
      <w:r>
        <w:t>Feuer, Explosion oder Überschwemmungen, sofern diese von keiner der Parteien zu vertreten sind,</w:t>
      </w:r>
    </w:p>
    <w:p w14:paraId="1A4827D8" w14:textId="77777777" w:rsidR="005C4FC8" w:rsidRDefault="005C4FC8" w:rsidP="005C4FC8">
      <w:pPr>
        <w:pStyle w:val="LutE-LvL3-Heading"/>
      </w:pPr>
      <w:r>
        <w:t>ein länger als sechs Wochen andauernder Arbeitskampf, der von keiner der Parteien schuldhaft verursacht wurde,</w:t>
      </w:r>
    </w:p>
    <w:p w14:paraId="5D2D3AB2" w14:textId="77777777" w:rsidR="005C4FC8" w:rsidRPr="00CB6466" w:rsidRDefault="005C4FC8" w:rsidP="005C4FC8">
      <w:pPr>
        <w:pStyle w:val="LutE-LvL3-Heading"/>
      </w:pPr>
      <w:r>
        <w:t>technische Störungen der Stromversorgung oder des Internets, soweit diese außerhalb des Einflussbereichs der Parteien liegen.</w:t>
      </w:r>
    </w:p>
    <w:p w14:paraId="2B31A578" w14:textId="77777777" w:rsidR="005C4FC8" w:rsidRPr="000A4B0A" w:rsidRDefault="005C4FC8" w:rsidP="005C4FC8">
      <w:pPr>
        <w:pStyle w:val="LutE-LvL2-Heading"/>
      </w:pPr>
      <w:r>
        <w:t>Die Information der jeweils anderen Partei über den Eintritt eines Falles höherer Gewalt muss unverzüglich und schriftlich erfolgen.</w:t>
      </w:r>
    </w:p>
    <w:p w14:paraId="2AA5A82A" w14:textId="77777777" w:rsidR="005C4FC8" w:rsidRPr="000A4B0A" w:rsidRDefault="005C4FC8" w:rsidP="005C4FC8">
      <w:pPr>
        <w:pStyle w:val="LutE-LvL1-Heading"/>
      </w:pPr>
      <w:bookmarkStart w:id="37" w:name="_Toc236835704"/>
      <w:bookmarkStart w:id="38" w:name="_Toc242102388"/>
      <w:r>
        <w:t>Versicherung</w:t>
      </w:r>
      <w:bookmarkEnd w:id="37"/>
      <w:bookmarkEnd w:id="38"/>
    </w:p>
    <w:p w14:paraId="3031163F" w14:textId="77777777" w:rsidR="005C4FC8" w:rsidRDefault="005C4FC8" w:rsidP="005C4FC8">
      <w:pPr>
        <w:pStyle w:val="LutE-LvL2-Heading"/>
      </w:pPr>
      <w:r>
        <w:t>Der AN ist verpflichtet, auf eigene Kosten eine Betriebs- und Produkthaftpflichtversicherung in marktüblicher Höhe abzuschließen. Der Versicherungsschutz hat ab dem Zeitpunkt des Vertragsschlusses bis zum Ablauf der Verjährungsfristen entsprechender Ansprüche zu bestehen und muss insbesondere die Haftung des AN für Sach- und Vermögensschäden abdecken.</w:t>
      </w:r>
    </w:p>
    <w:p w14:paraId="662F3132" w14:textId="77777777" w:rsidR="005C4FC8" w:rsidRDefault="005C4FC8" w:rsidP="005C4FC8">
      <w:pPr>
        <w:pStyle w:val="LutE-LvL2-Heading"/>
      </w:pPr>
      <w:r>
        <w:t>Ist der AN nicht in der Lage, den Abschluss der vorgeschriebenen Versicherung innerhalb von zwei (2) Wochen nach Vertragsschluss in geeigneter Form – beispielsweise durch Vorlage eines Versicherungsnachweises oder eines entsprechenden Zertifikats – nachzuweisen, ist der AG berechtigt, eine solche Versicherung selbst abzuschließen. Die hierbei entstehenden Kosten gehen zulasten des AN.</w:t>
      </w:r>
    </w:p>
    <w:p w14:paraId="3B7F41DA" w14:textId="77777777" w:rsidR="005C4FC8" w:rsidRDefault="005C4FC8" w:rsidP="005C4FC8">
      <w:pPr>
        <w:pStyle w:val="LutE-LvL2-Heading"/>
      </w:pPr>
      <w:r>
        <w:t>Der AN ist verpflichtet, den AG unverzüglich und ohne gesonderte Aufforderung schriftlich zu informieren über:</w:t>
      </w:r>
    </w:p>
    <w:p w14:paraId="1C0E173F" w14:textId="77777777" w:rsidR="005C4FC8" w:rsidRDefault="005C4FC8" w:rsidP="005C4FC8">
      <w:pPr>
        <w:pStyle w:val="LutE-LvL3-Heading"/>
      </w:pPr>
      <w:r>
        <w:t xml:space="preserve">die Kündigung, Änderung, Nichtverlängerung oder das Ruhen einer bestehenden Versicherung. Die Mitteilung hat – soweit möglich – mindestens 30 Tage vor dem </w:t>
      </w:r>
      <w:r>
        <w:lastRenderedPageBreak/>
        <w:t>Wirksamwerden der Kündigung, Änderung, Nichtverlängerung oder des Ruhens zu erfolgen,</w:t>
      </w:r>
    </w:p>
    <w:p w14:paraId="639E9790" w14:textId="77777777" w:rsidR="005C4FC8" w:rsidRDefault="005C4FC8" w:rsidP="005C4FC8">
      <w:pPr>
        <w:pStyle w:val="LutE-LvL3-Heading"/>
      </w:pPr>
      <w:r>
        <w:t>Verzug bei der Zahlung von Versicherungsprämien.</w:t>
      </w:r>
    </w:p>
    <w:p w14:paraId="56295AAF" w14:textId="77777777" w:rsidR="005C4FC8" w:rsidRDefault="005C4FC8" w:rsidP="005C4FC8">
      <w:pPr>
        <w:pStyle w:val="LutE-LvL3-Heading"/>
      </w:pPr>
      <w:r>
        <w:t>Auf begründete Anforderung hin ist der AN verpflichtet, den AG über weitere Umstände zu informieren, die geeignet sind, den bestehenden Versicherungsschutz des AN zu beeinträchtigen oder in Frage zu stellen.</w:t>
      </w:r>
    </w:p>
    <w:p w14:paraId="0B88D095" w14:textId="3F108CC7" w:rsidR="005C4FC8" w:rsidRDefault="005C4FC8" w:rsidP="005C4FC8">
      <w:pPr>
        <w:pStyle w:val="LutE-LvL2-Heading"/>
      </w:pPr>
      <w:r>
        <w:t xml:space="preserve">Der AN muss überprüfen und nachhalten, dass die von ihm eingesetzten Nachunternehmer und Lieferanten selbst einen branchenüblichen Versicherungsschutz besitzen. </w:t>
      </w:r>
    </w:p>
    <w:p w14:paraId="1AB691EA" w14:textId="09715945" w:rsidR="005C4FC8" w:rsidRDefault="005C4FC8" w:rsidP="005C4FC8">
      <w:pPr>
        <w:pStyle w:val="LutE-LvL1-Heading"/>
      </w:pPr>
      <w:bookmarkStart w:id="39" w:name="_Toc236835705"/>
      <w:bookmarkStart w:id="40" w:name="_Toc242102389"/>
      <w:r>
        <w:t>Sicherheiten</w:t>
      </w:r>
      <w:bookmarkEnd w:id="39"/>
      <w:bookmarkEnd w:id="40"/>
      <w:r>
        <w:t xml:space="preserve"> </w:t>
      </w:r>
    </w:p>
    <w:p w14:paraId="690971CB" w14:textId="50C25698" w:rsidR="00FC044D" w:rsidRDefault="002919D0" w:rsidP="00FC044D">
      <w:pPr>
        <w:pStyle w:val="LutE-LvL2-Heading"/>
      </w:pPr>
      <w:r>
        <w:t>Vorauszahlungsbürgschaft</w:t>
      </w:r>
    </w:p>
    <w:p w14:paraId="03A89199" w14:textId="5C32C70D" w:rsidR="00242DAD" w:rsidRDefault="00F77120" w:rsidP="00242DAD">
      <w:pPr>
        <w:pStyle w:val="LutE-LvL3-Heading"/>
      </w:pPr>
      <w:r>
        <w:t>Die gemäß Ziffer 12.3 durch den AG zu leistende Vorauszahlung ist dreißig (30) Tage nach Erhalt einer Vorauszahlungsbürgschaft in Höhe des Bruttobetrags der Vorauszahlung zur Zahlung fällig. Die Vorauszahlungsbürgschaft dient zur Absicherung etwaiger Rückzahlungsansprüche des AG (einschließlich Zinsen und Kosten der Rechtsverfolgung), wenn und soweit sich aus der Abrechnung der erbrachten Leistungen im Hinblick auf den noch nicht freigegebenen und noch nicht verrechneten Teil der Vorauszahlung eine Überzahlung des Auftragnehmers ergibt. Der Bürgschaftsumfang aus diesem Absatz ist im Bürgschaftszweck der Vorauszahlungsbürgschaft anzugeben. Die Formulierung des Bürgschaftszwecks ist vom AG freizugeben.</w:t>
      </w:r>
    </w:p>
    <w:p w14:paraId="4F20661B" w14:textId="3B8A22FD" w:rsidR="00281087" w:rsidRPr="00822923" w:rsidRDefault="00281087" w:rsidP="001A4152">
      <w:pPr>
        <w:pStyle w:val="LutE-LvL3-Heading"/>
      </w:pPr>
      <w:r>
        <w:t>Als Bürgen kommen ausschließlich Kreditinstitute oder Kreditversicherer in Betracht, die in einem Mitgliedstaat der Europäischen Union, in einem Vertragsstaat des Abkommens über den Europäischen Wirtschaftsraum oder in einem Vertragsstaat des WTO-Übereinkommens über das öffentliche Beschaffungswesen zugelassen sind. Im letztgenannten Fall muss das Kreditinstitut bzw. der Kreditversicherer über ein Mindestrating von „Baa“ in der Kategorie „Senior Unsecured Rating“ nach Moody’s Investors Service oder über ein vergleichbares Rating verfügen.</w:t>
      </w:r>
    </w:p>
    <w:p w14:paraId="28F9E87C" w14:textId="77777777" w:rsidR="00281087" w:rsidRPr="00822923" w:rsidRDefault="00281087" w:rsidP="001A4152">
      <w:pPr>
        <w:pStyle w:val="LutE-LvL3-Heading"/>
      </w:pPr>
      <w:r>
        <w:t xml:space="preserve">Die Bürgschaft ist unwiderruflich und selbstschuldnerisch auszugestalten. Sie muss den Verzicht auf die Einreden der Anfechtbarkeit, der Aufrechenbarkeit, das Recht zur Hinterlegung sowie die Einrede der Vorausklage gemäß §§ 770, 771 BGB enthalten. Der Verzicht auf die Einrede der Aufrechenbarkeit gilt </w:t>
      </w:r>
      <w:r>
        <w:lastRenderedPageBreak/>
        <w:t>jedoch nicht für unbestrittene oder rechtskräftig festgestellte Gegenforderungen des Hauptschuldners. Befristete Bürgschaften sind nur zulässig, wenn gleichzeitig eine sogenannte „extend-or-pay“-Klausel vereinbart wird; diese ist dem AG zur Prüfung vorzulegen.</w:t>
      </w:r>
    </w:p>
    <w:p w14:paraId="1658AC40" w14:textId="77777777" w:rsidR="00281087" w:rsidRPr="00822923" w:rsidRDefault="00281087" w:rsidP="001A4152">
      <w:pPr>
        <w:pStyle w:val="LutE-LvL3-Heading"/>
      </w:pPr>
      <w:r>
        <w:t>Der Bürge hat zu bestätigen, dass die Bürgschaft nicht vor Eintritt der gesicherten Hauptforderung verjährt.</w:t>
      </w:r>
    </w:p>
    <w:p w14:paraId="62D4C680" w14:textId="77777777" w:rsidR="00281087" w:rsidRPr="00822923" w:rsidRDefault="00281087" w:rsidP="001A4152">
      <w:pPr>
        <w:pStyle w:val="LutE-LvL3-Heading"/>
      </w:pPr>
      <w:r>
        <w:t>Die Bürgschaft ist ausschließlich nach deutschem Recht zu stellen. Der Bürgschaftsbetrag ist in Euro auszuweisen. Darüber hinaus hat der Bürge für jede Bürgschaft zu erklären, dass für sämtliche Streitigkeiten ausschließlich das Recht der Bundesrepublik Deutschland Anwendung findet und der Gerichtsstand Dresden ist.</w:t>
      </w:r>
    </w:p>
    <w:p w14:paraId="17CFFFA2" w14:textId="77777777" w:rsidR="00281087" w:rsidRDefault="00281087" w:rsidP="00281087">
      <w:pPr>
        <w:pStyle w:val="LutE-LvL3-Heading"/>
      </w:pPr>
      <w:r>
        <w:t>Die Bürgschaft muss die anteilige Umsatzsteuer einschließen.</w:t>
      </w:r>
    </w:p>
    <w:p w14:paraId="327DDF81" w14:textId="242753D3" w:rsidR="000646FD" w:rsidRPr="00B52412" w:rsidRDefault="00F05086" w:rsidP="001A4152">
      <w:pPr>
        <w:pStyle w:val="LutE-LvL3-Heading"/>
      </w:pPr>
      <w:r>
        <w:t xml:space="preserve">Der AG ist verpflichtet die Vorauszahlungsbürgschaft im Original an den Auftragnehmer zur Weiterleitung an den Bürgen zurückzugeben, wenn er die Leistungen gem. Abschnitt 2 des Preisblattes (Anlage 02) erfüllt hat und diese durch den AG freigegeben worden sind. </w:t>
      </w:r>
    </w:p>
    <w:p w14:paraId="38F2AF3B" w14:textId="77777777" w:rsidR="005C4FC8" w:rsidRPr="000A4B0A" w:rsidRDefault="005C4FC8" w:rsidP="005C4FC8">
      <w:pPr>
        <w:pStyle w:val="LutE-LvL1-Heading"/>
      </w:pPr>
      <w:bookmarkStart w:id="41" w:name="_Toc236835706"/>
      <w:bookmarkStart w:id="42" w:name="_Toc242102390"/>
      <w:r>
        <w:t>Compliance</w:t>
      </w:r>
      <w:bookmarkEnd w:id="41"/>
      <w:bookmarkEnd w:id="42"/>
    </w:p>
    <w:p w14:paraId="51392DF1" w14:textId="77777777" w:rsidR="005C4FC8" w:rsidRDefault="005C4FC8" w:rsidP="005C4FC8">
      <w:pPr>
        <w:pStyle w:val="LutE-LvL1-Text"/>
      </w:pPr>
      <w:r>
        <w:t>Die Vertragsparteien verpflichten sich, im Rahmen der Durchführung dieses Vertrages sämtliche anwendbaren gesetzlichen Bestimmungen sowie einschlägige behördliche Vorgaben zu beachten und einzuhalten. Darüber hinaus unterlassen sie jegliche Handlungen, die gegen geltendes Recht oder allgemein anerkannte ethische Grundsätze verstoßen könnten.</w:t>
      </w:r>
    </w:p>
    <w:p w14:paraId="19A469A5" w14:textId="77777777" w:rsidR="005C4FC8" w:rsidRPr="00822923" w:rsidRDefault="005C4FC8" w:rsidP="005C4FC8">
      <w:pPr>
        <w:pStyle w:val="LutE-LvL1-Text"/>
      </w:pPr>
      <w:r>
        <w:t>Der AN stellt ferner sicher, dass auch von ihm eingesetzte Nachunternehmer sowie deren etwaige Unterauftragnehmer diese Verpflichtungen uneingeschränkt erfüllen und die entsprechenden Regelungen einhalten.</w:t>
      </w:r>
    </w:p>
    <w:p w14:paraId="5375926B" w14:textId="77777777" w:rsidR="005C4FC8" w:rsidRDefault="005C4FC8" w:rsidP="005C4FC8">
      <w:pPr>
        <w:pStyle w:val="LutE-LvL1-Heading"/>
      </w:pPr>
      <w:bookmarkStart w:id="43" w:name="_Toc236835707"/>
      <w:bookmarkStart w:id="44" w:name="_Toc242102391"/>
      <w:r>
        <w:t>Veröffentlichung, Nutzung als Referenz</w:t>
      </w:r>
      <w:bookmarkEnd w:id="43"/>
      <w:bookmarkEnd w:id="44"/>
    </w:p>
    <w:p w14:paraId="607EE48B" w14:textId="77777777" w:rsidR="005C4FC8" w:rsidRDefault="005C4FC8" w:rsidP="005C4FC8">
      <w:pPr>
        <w:pStyle w:val="LutE-LvL2-Heading"/>
      </w:pPr>
      <w:r>
        <w:t>Der AG ist berechtigt, im Zusammenhang mit den vertragsgegenständlichen Leistungen Veröffentlichungen vorzunehmen. Dies umfasst insbesondere Mitteilungen gegenüber Gesellschaftern, Veröffentlichungen im Rahmen der Publizitätspflichten im Zusammenhang mit gewährten Fördermitteln sowie Informationen gegenüber Medienvertretern und sonstigen Dritten, etwa im Rahmen von Berichterstattungen oder Fachveranstaltungen.</w:t>
      </w:r>
    </w:p>
    <w:p w14:paraId="7F1281E2" w14:textId="77777777" w:rsidR="005C4FC8" w:rsidRDefault="005C4FC8" w:rsidP="005C4FC8">
      <w:pPr>
        <w:pStyle w:val="LutE-LvL2-Heading"/>
      </w:pPr>
      <w:r>
        <w:lastRenderedPageBreak/>
        <w:t>Dem AN ist es hingegen nur nach vorheriger ausdrücklicher und schriftlicher Zustimmung gestattet, den Namen des AG oder nicht bereits öffentlich zugängliche Informationen über das Projekt zu Werbe-, Referenz- oder vergleichbaren Zwecken zu verwenden.</w:t>
      </w:r>
    </w:p>
    <w:p w14:paraId="040DAFB2" w14:textId="77777777" w:rsidR="005C4FC8" w:rsidRPr="00822923" w:rsidRDefault="005C4FC8" w:rsidP="005C4FC8">
      <w:pPr>
        <w:pStyle w:val="LutE-LvL2-Heading"/>
      </w:pPr>
      <w:r>
        <w:t>Von den vorstehenden Regelungen unberührt bleiben gesetzliche oder behördlich angeordnete Verpflichtungen der Parteien, gegenüber Dritten, insbesondere Behörden oder Fördermittelgebern, Auskünfte zu erteilen oder Informationen offenzulegen bzw. zu veröffentlichen, sofern diese Verpflichtungen durchsetzbar sind. Diejenige Partei, die sich auf eine entsprechende Verpflichtung beruft, hat deren Bestehen gegenüber der jeweils anderen Partei nachzuweisen.</w:t>
      </w:r>
    </w:p>
    <w:p w14:paraId="1C19E50E" w14:textId="77777777" w:rsidR="005C4FC8" w:rsidRPr="000A4B0A" w:rsidRDefault="005C4FC8" w:rsidP="005C4FC8">
      <w:pPr>
        <w:pStyle w:val="LutE-LvL1-Heading"/>
      </w:pPr>
      <w:bookmarkStart w:id="45" w:name="_Toc236835708"/>
      <w:bookmarkStart w:id="46" w:name="_Toc242102392"/>
      <w:r>
        <w:t>Schlussbestimmungen</w:t>
      </w:r>
      <w:bookmarkEnd w:id="45"/>
      <w:bookmarkEnd w:id="46"/>
    </w:p>
    <w:p w14:paraId="28751611" w14:textId="77777777" w:rsidR="005C4FC8" w:rsidRPr="001F0A67" w:rsidRDefault="005C4FC8" w:rsidP="005C4FC8">
      <w:pPr>
        <w:pStyle w:val="LutE-LvL2-Heading"/>
      </w:pPr>
      <w:r>
        <w:t>Dieser Vertrag unterliegt dem Recht der Bundesrepublik Deutschland. Soweit rechtlich zulässig, wird als Gerichtsstand Dresden vereinbart.</w:t>
      </w:r>
    </w:p>
    <w:p w14:paraId="2EDC44B2" w14:textId="77777777" w:rsidR="005C4FC8" w:rsidRPr="001F0A67" w:rsidRDefault="005C4FC8" w:rsidP="005C4FC8">
      <w:pPr>
        <w:pStyle w:val="LutE-LvL2-Heading"/>
      </w:pPr>
      <w:r>
        <w:t xml:space="preserve">Im Sinne dieses Vertrags gilt als </w:t>
      </w:r>
      <w:r>
        <w:rPr>
          <w:b/>
          <w:bCs/>
        </w:rPr>
        <w:t>„Werktag“</w:t>
      </w:r>
      <w:r>
        <w:t xml:space="preserve"> jeder Kalendertag von Montag bis einschließlich Freitag, ausgenommen die gesetzlichen Feiertage des Freistaats Sachsen.</w:t>
      </w:r>
    </w:p>
    <w:p w14:paraId="5344352F" w14:textId="77777777" w:rsidR="005C4FC8" w:rsidRPr="001F0A67" w:rsidRDefault="005C4FC8" w:rsidP="005C4FC8">
      <w:pPr>
        <w:pStyle w:val="LutE-LvL2-Heading"/>
      </w:pPr>
      <w:r>
        <w:t>Sämtliche Änderungen oder Ergänzungen dieses Vertrags bedürfen zu ihrer Wirksamkeit der Schriftform. Dies gilt ebenso für eine Änderung oder Aufhebung dieser Schriftformvereinbarung.</w:t>
      </w:r>
    </w:p>
    <w:p w14:paraId="7AB921B7" w14:textId="3C263257" w:rsidR="005C4FC8" w:rsidRPr="001F0A67" w:rsidRDefault="005C4FC8" w:rsidP="005C4FC8">
      <w:pPr>
        <w:pStyle w:val="LutE-LvL2-Heading"/>
      </w:pPr>
      <w:r>
        <w:t xml:space="preserve">Unter </w:t>
      </w:r>
      <w:r>
        <w:rPr>
          <w:b/>
          <w:bCs/>
        </w:rPr>
        <w:t>„Schriftform“</w:t>
      </w:r>
      <w:r>
        <w:t xml:space="preserve"> im Sinne dieses Vertrags ist die Abgabe einer Erklärung in einer lesbaren und dauerhaft speicherbaren Form zu verstehen. Hierzu zählen beispielsweise Erklärungen per Brief sowie per E-Mail übermittelte Schreiben in Form eines signierten PDF-Dokuments.</w:t>
      </w:r>
    </w:p>
    <w:p w14:paraId="2B4F5AEC" w14:textId="77777777" w:rsidR="005C4FC8" w:rsidRPr="001F0A67" w:rsidRDefault="005C4FC8" w:rsidP="005C4FC8">
      <w:pPr>
        <w:pStyle w:val="LutE-LvL2-Heading"/>
      </w:pPr>
      <w:r>
        <w:t>Soweit dieser Vertrag die Unterzeichnung oder Gegenzeichnung von Dokumenten vorsieht, kann diese auch durch den Einsatz einer qualifizierten elektronischen Signatur (QES) oder mithilfe eines marktüblichen Programms für elektronische Signaturen erfolgen.</w:t>
      </w:r>
    </w:p>
    <w:p w14:paraId="1E5FE9E0" w14:textId="77777777" w:rsidR="005C4FC8" w:rsidRPr="001F0A67" w:rsidRDefault="005C4FC8" w:rsidP="005C4FC8">
      <w:pPr>
        <w:pStyle w:val="LutE-LvL2-Heading"/>
      </w:pPr>
      <w:r>
        <w:t xml:space="preserve">Sollten einzelne Bestimmungen dieses Vertrags ganz oder teilweise unwirksam sein oder werden oder sollte sich eine Regelungslücke ergeben, bleibt die Wirksamkeit der übrigen Vertragsbestimmungen hiervon unberührt. Den Parteien ist die einschlägige Rechtsprechung des Bundesgerichtshofs bekannt, wonach salvatorische Klauseln im Zweifel lediglich eine Beweislastumkehr bewirken. Gleichwohl entspricht es dem ausdrücklichen Willen der Parteien, die übrigen Regelungen dieses Vertrags in jedem Fall aufrechtzuerhalten und insoweit § 139 BGB insgesamt abzubedingen. Anstelle der unwirksamen Regelung oder zur Schließung der Lücke soll eine rechtlich zulässige und praktikable Bestimmung treten, die </w:t>
      </w:r>
      <w:r>
        <w:lastRenderedPageBreak/>
        <w:t>dem wirtschaftlichen und rechtlichen Zweck der ursprünglich gewollten Regelung möglichst nahekommt oder dem entspricht, was die Parteien bei Kenntnis der Unwirksamkeit bzw. Regelungslücke vereinbart hätten.</w:t>
      </w:r>
    </w:p>
    <w:p w14:paraId="39BF752A" w14:textId="27E4E79A" w:rsidR="003F3083" w:rsidRPr="003F3083" w:rsidRDefault="005C4FC8" w:rsidP="001F3A07">
      <w:pPr>
        <w:pStyle w:val="LutE-LvL2-Heading"/>
      </w:pPr>
      <w:r>
        <w:t>Dieser Vertrag wird in 2 gleichlautenden Exemplaren ausgefertigt. Nach Unterzeichnung erhält jede Partei ein Exemplar.</w:t>
      </w:r>
    </w:p>
    <w:p w14:paraId="0292C500" w14:textId="7AFA01B7" w:rsidR="002D021F" w:rsidRPr="00D12263" w:rsidRDefault="0087228C" w:rsidP="00D12263">
      <w:pPr>
        <w:pStyle w:val="LutE-LvL1-Heading"/>
        <w:rPr>
          <w:rFonts w:cs="Arial"/>
        </w:rPr>
      </w:pPr>
      <w:bookmarkStart w:id="47" w:name="_Toc242102393"/>
      <w:r>
        <w:rPr>
          <w:rFonts w:cs="Arial"/>
        </w:rPr>
        <w:t>Anlagen</w:t>
      </w:r>
      <w:bookmarkEnd w:id="47"/>
    </w:p>
    <w:p w14:paraId="539C4081" w14:textId="77777777" w:rsidR="00CA2BD5" w:rsidRDefault="00667DFE">
      <w:pPr>
        <w:rPr>
          <w:rFonts w:cs="Arial"/>
          <w:sz w:val="22"/>
          <w:lang w:val="de-DE"/>
        </w:rPr>
      </w:pPr>
      <w:r>
        <w:rPr>
          <w:rFonts w:cs="Arial"/>
          <w:sz w:val="22"/>
          <w:lang w:val="de-DE"/>
        </w:rPr>
        <w:t>Folgende Anlagen sind Bestandteil dieses Vertrages:</w:t>
      </w:r>
    </w:p>
    <w:p w14:paraId="055A08BC" w14:textId="77777777" w:rsidR="004F5173" w:rsidRPr="00D12263" w:rsidRDefault="004F5173">
      <w:pPr>
        <w:rPr>
          <w:rFonts w:cs="Arial"/>
          <w:sz w:val="22"/>
          <w:lang w:val="de-DE"/>
        </w:rPr>
      </w:pPr>
    </w:p>
    <w:tbl>
      <w:tblPr>
        <w:tblStyle w:val="Tabellenraster"/>
        <w:tblW w:w="0" w:type="auto"/>
        <w:jc w:val="center"/>
        <w:tblLook w:val="04A0" w:firstRow="1" w:lastRow="0" w:firstColumn="1" w:lastColumn="0" w:noHBand="0" w:noVBand="1"/>
      </w:tblPr>
      <w:tblGrid>
        <w:gridCol w:w="4781"/>
        <w:gridCol w:w="4784"/>
      </w:tblGrid>
      <w:tr w:rsidR="00CA2BD5" w:rsidRPr="00D12263" w14:paraId="0AEDBF89" w14:textId="77777777" w:rsidTr="004F5173">
        <w:trPr>
          <w:jc w:val="center"/>
        </w:trPr>
        <w:tc>
          <w:tcPr>
            <w:tcW w:w="4781" w:type="dxa"/>
            <w:shd w:val="clear" w:color="auto" w:fill="D9D9D9" w:themeFill="background1" w:themeFillShade="D9"/>
          </w:tcPr>
          <w:p w14:paraId="2C6374DA" w14:textId="77777777" w:rsidR="00CA2BD5" w:rsidRPr="00D12263" w:rsidRDefault="00667DFE">
            <w:pPr>
              <w:rPr>
                <w:rFonts w:cs="Arial"/>
                <w:sz w:val="22"/>
              </w:rPr>
            </w:pPr>
            <w:r>
              <w:rPr>
                <w:rFonts w:cs="Arial"/>
                <w:b/>
                <w:sz w:val="22"/>
              </w:rPr>
              <w:t>Anlage</w:t>
            </w:r>
          </w:p>
        </w:tc>
        <w:tc>
          <w:tcPr>
            <w:tcW w:w="4784" w:type="dxa"/>
            <w:shd w:val="clear" w:color="auto" w:fill="D9D9D9" w:themeFill="background1" w:themeFillShade="D9"/>
          </w:tcPr>
          <w:p w14:paraId="7E868D75" w14:textId="77777777" w:rsidR="00CA2BD5" w:rsidRPr="00D12263" w:rsidRDefault="00667DFE">
            <w:pPr>
              <w:rPr>
                <w:rFonts w:cs="Arial"/>
                <w:sz w:val="22"/>
              </w:rPr>
            </w:pPr>
            <w:r>
              <w:rPr>
                <w:rFonts w:cs="Arial"/>
                <w:b/>
                <w:sz w:val="22"/>
              </w:rPr>
              <w:t>Bezeichnung</w:t>
            </w:r>
          </w:p>
        </w:tc>
      </w:tr>
      <w:tr w:rsidR="00D73FCD" w:rsidRPr="00B90D81" w14:paraId="6D3E2A09" w14:textId="77777777" w:rsidTr="00B90D81">
        <w:trPr>
          <w:jc w:val="center"/>
        </w:trPr>
        <w:tc>
          <w:tcPr>
            <w:tcW w:w="4781" w:type="dxa"/>
          </w:tcPr>
          <w:p w14:paraId="5DD9B253" w14:textId="6AF62BEF" w:rsidR="00D73FCD" w:rsidRPr="00D12263" w:rsidRDefault="00D73FCD" w:rsidP="00D73FCD">
            <w:pPr>
              <w:rPr>
                <w:rFonts w:cs="Arial"/>
                <w:sz w:val="22"/>
              </w:rPr>
            </w:pPr>
            <w:r>
              <w:t>Anlage 01</w:t>
            </w:r>
          </w:p>
        </w:tc>
        <w:tc>
          <w:tcPr>
            <w:tcW w:w="4784" w:type="dxa"/>
          </w:tcPr>
          <w:p w14:paraId="039B05E7" w14:textId="3256AA42" w:rsidR="00D73FCD" w:rsidRPr="00D12263" w:rsidRDefault="00D11B2D" w:rsidP="00D73FCD">
            <w:pPr>
              <w:rPr>
                <w:rFonts w:cs="Arial"/>
                <w:sz w:val="22"/>
                <w:lang w:val="de-DE"/>
              </w:rPr>
            </w:pPr>
            <w:r>
              <w:t xml:space="preserve">Leistungsbeschreibung </w:t>
            </w:r>
          </w:p>
        </w:tc>
      </w:tr>
      <w:tr w:rsidR="00D73FCD" w:rsidRPr="00B90D81" w14:paraId="68E9C441" w14:textId="77777777" w:rsidTr="00B90D81">
        <w:trPr>
          <w:jc w:val="center"/>
        </w:trPr>
        <w:tc>
          <w:tcPr>
            <w:tcW w:w="4781" w:type="dxa"/>
          </w:tcPr>
          <w:p w14:paraId="04DF812D" w14:textId="01006C22" w:rsidR="00D73FCD" w:rsidRPr="00D12263" w:rsidRDefault="00D73FCD" w:rsidP="00D73FCD">
            <w:pPr>
              <w:rPr>
                <w:rFonts w:cs="Arial"/>
                <w:sz w:val="22"/>
              </w:rPr>
            </w:pPr>
            <w:r>
              <w:t>Anlage 02</w:t>
            </w:r>
          </w:p>
        </w:tc>
        <w:tc>
          <w:tcPr>
            <w:tcW w:w="4784" w:type="dxa"/>
          </w:tcPr>
          <w:p w14:paraId="0D6B5007" w14:textId="5C40188A" w:rsidR="00D73FCD" w:rsidRPr="00D12263" w:rsidRDefault="00D73FCD" w:rsidP="00D73FCD">
            <w:pPr>
              <w:rPr>
                <w:rFonts w:cs="Arial"/>
                <w:sz w:val="22"/>
                <w:lang w:val="de-DE"/>
              </w:rPr>
            </w:pPr>
            <w:r>
              <w:t xml:space="preserve">Preisblatt </w:t>
            </w:r>
          </w:p>
        </w:tc>
      </w:tr>
      <w:tr w:rsidR="00D73FCD" w:rsidRPr="002D5489" w14:paraId="379403DD" w14:textId="77777777" w:rsidTr="00B90D81">
        <w:trPr>
          <w:jc w:val="center"/>
        </w:trPr>
        <w:tc>
          <w:tcPr>
            <w:tcW w:w="4781" w:type="dxa"/>
          </w:tcPr>
          <w:p w14:paraId="6B1AD5CA" w14:textId="08411505" w:rsidR="00D73FCD" w:rsidRPr="00D12263" w:rsidRDefault="00D73FCD" w:rsidP="00D73FCD">
            <w:pPr>
              <w:rPr>
                <w:rFonts w:cs="Arial"/>
                <w:sz w:val="22"/>
              </w:rPr>
            </w:pPr>
            <w:r>
              <w:t>Anlage 03</w:t>
            </w:r>
          </w:p>
        </w:tc>
        <w:tc>
          <w:tcPr>
            <w:tcW w:w="4784" w:type="dxa"/>
          </w:tcPr>
          <w:p w14:paraId="7F88A0F6" w14:textId="2D28978F" w:rsidR="00D73FCD" w:rsidRPr="00B90D81" w:rsidRDefault="00D73FCD" w:rsidP="00D73FCD">
            <w:pPr>
              <w:rPr>
                <w:rFonts w:cs="Arial"/>
                <w:sz w:val="22"/>
                <w:lang w:val="de-DE"/>
              </w:rPr>
            </w:pPr>
            <w:r>
              <w:rPr>
                <w:lang w:val="de-DE"/>
              </w:rPr>
              <w:t xml:space="preserve">Mängelklassifizierung und Reaktionszeiten </w:t>
            </w:r>
          </w:p>
        </w:tc>
      </w:tr>
      <w:tr w:rsidR="00D73FCD" w:rsidRPr="00D12263" w14:paraId="64D1FA5F" w14:textId="77777777" w:rsidTr="00B90D81">
        <w:trPr>
          <w:jc w:val="center"/>
        </w:trPr>
        <w:tc>
          <w:tcPr>
            <w:tcW w:w="4781" w:type="dxa"/>
          </w:tcPr>
          <w:p w14:paraId="446510EC" w14:textId="43D00AED" w:rsidR="00D73FCD" w:rsidRPr="00D12263" w:rsidRDefault="00D73FCD" w:rsidP="00D73FCD">
            <w:pPr>
              <w:rPr>
                <w:rFonts w:cs="Arial"/>
                <w:sz w:val="22"/>
              </w:rPr>
            </w:pPr>
            <w:r>
              <w:t>Anlage 04</w:t>
            </w:r>
          </w:p>
        </w:tc>
        <w:tc>
          <w:tcPr>
            <w:tcW w:w="4784" w:type="dxa"/>
          </w:tcPr>
          <w:p w14:paraId="74470D31" w14:textId="58330273" w:rsidR="00D73FCD" w:rsidRPr="00D12263" w:rsidRDefault="00D73FCD" w:rsidP="00D73FCD">
            <w:pPr>
              <w:rPr>
                <w:rFonts w:cs="Arial"/>
                <w:sz w:val="22"/>
              </w:rPr>
            </w:pPr>
            <w:r>
              <w:t xml:space="preserve">Vertraulichkeitsvereinbarung </w:t>
            </w:r>
          </w:p>
        </w:tc>
      </w:tr>
      <w:tr w:rsidR="00D73FCD" w:rsidRPr="00B90D81" w14:paraId="05A32547" w14:textId="77777777" w:rsidTr="00B90D81">
        <w:trPr>
          <w:jc w:val="center"/>
        </w:trPr>
        <w:tc>
          <w:tcPr>
            <w:tcW w:w="4781" w:type="dxa"/>
          </w:tcPr>
          <w:p w14:paraId="667F0C2A" w14:textId="1F400E96" w:rsidR="00D73FCD" w:rsidRPr="00D12263" w:rsidRDefault="00D73FCD" w:rsidP="00D73FCD">
            <w:pPr>
              <w:rPr>
                <w:rFonts w:cs="Arial"/>
                <w:sz w:val="22"/>
              </w:rPr>
            </w:pPr>
            <w:r>
              <w:t>Anlage 05</w:t>
            </w:r>
          </w:p>
        </w:tc>
        <w:tc>
          <w:tcPr>
            <w:tcW w:w="4784" w:type="dxa"/>
          </w:tcPr>
          <w:p w14:paraId="3302988D" w14:textId="74912E75" w:rsidR="00D73FCD" w:rsidRPr="00B90D81" w:rsidRDefault="00D73FCD" w:rsidP="00D73FCD">
            <w:pPr>
              <w:rPr>
                <w:rFonts w:cs="Arial"/>
                <w:sz w:val="22"/>
                <w:lang w:val="de-DE"/>
              </w:rPr>
            </w:pPr>
            <w:r>
              <w:rPr>
                <w:lang w:val="de-DE"/>
              </w:rPr>
              <w:t xml:space="preserve">Verpflichtungserklärung Nachunternehmer </w:t>
            </w:r>
          </w:p>
        </w:tc>
      </w:tr>
      <w:tr w:rsidR="00D73FCD" w:rsidRPr="00D12263" w14:paraId="6998159A" w14:textId="77777777" w:rsidTr="00B90D81">
        <w:trPr>
          <w:jc w:val="center"/>
        </w:trPr>
        <w:tc>
          <w:tcPr>
            <w:tcW w:w="4781" w:type="dxa"/>
          </w:tcPr>
          <w:p w14:paraId="5ED9D647" w14:textId="777C629C" w:rsidR="00D73FCD" w:rsidRPr="00D12263" w:rsidRDefault="00D73FCD" w:rsidP="00D73FCD">
            <w:pPr>
              <w:rPr>
                <w:rFonts w:cs="Arial"/>
                <w:sz w:val="22"/>
              </w:rPr>
            </w:pPr>
            <w:r>
              <w:t>Anlage 06</w:t>
            </w:r>
          </w:p>
        </w:tc>
        <w:tc>
          <w:tcPr>
            <w:tcW w:w="4784" w:type="dxa"/>
          </w:tcPr>
          <w:p w14:paraId="65FE588D" w14:textId="48DDC02D" w:rsidR="00D73FCD" w:rsidRPr="00D12263" w:rsidRDefault="00D73FCD" w:rsidP="00D73FCD">
            <w:pPr>
              <w:rPr>
                <w:rFonts w:cs="Arial"/>
                <w:sz w:val="22"/>
              </w:rPr>
            </w:pPr>
            <w:r>
              <w:t xml:space="preserve">Lieferantenkodex </w:t>
            </w:r>
          </w:p>
        </w:tc>
      </w:tr>
      <w:tr w:rsidR="00D73FCD" w:rsidRPr="00B90D81" w14:paraId="1CD4CC04" w14:textId="77777777" w:rsidTr="00B90D81">
        <w:trPr>
          <w:jc w:val="center"/>
        </w:trPr>
        <w:tc>
          <w:tcPr>
            <w:tcW w:w="4781" w:type="dxa"/>
          </w:tcPr>
          <w:p w14:paraId="51D103DE" w14:textId="79DFFDDE" w:rsidR="00D73FCD" w:rsidRPr="00D12263" w:rsidRDefault="00D73FCD" w:rsidP="00D73FCD">
            <w:pPr>
              <w:rPr>
                <w:rFonts w:cs="Arial"/>
                <w:sz w:val="22"/>
              </w:rPr>
            </w:pPr>
            <w:r>
              <w:t>Anlage 07</w:t>
            </w:r>
          </w:p>
        </w:tc>
        <w:tc>
          <w:tcPr>
            <w:tcW w:w="4784" w:type="dxa"/>
          </w:tcPr>
          <w:p w14:paraId="5A8E36AF" w14:textId="0ED354A7" w:rsidR="00D73FCD" w:rsidRPr="00D12263" w:rsidRDefault="00D73FCD" w:rsidP="00D73FCD">
            <w:pPr>
              <w:rPr>
                <w:rFonts w:cs="Arial"/>
                <w:sz w:val="22"/>
                <w:lang w:val="de-DE"/>
              </w:rPr>
            </w:pPr>
            <w:r>
              <w:t xml:space="preserve">Ansprechpartner </w:t>
            </w:r>
          </w:p>
        </w:tc>
      </w:tr>
      <w:tr w:rsidR="00D73FCD" w:rsidRPr="003969C3" w14:paraId="09CD5026" w14:textId="77777777" w:rsidTr="00B90D81">
        <w:trPr>
          <w:jc w:val="center"/>
        </w:trPr>
        <w:tc>
          <w:tcPr>
            <w:tcW w:w="4781" w:type="dxa"/>
          </w:tcPr>
          <w:p w14:paraId="0A7C4122" w14:textId="211B2FF3" w:rsidR="00D73FCD" w:rsidRPr="00D12263" w:rsidRDefault="00D73FCD" w:rsidP="00D73FCD">
            <w:pPr>
              <w:rPr>
                <w:rFonts w:cs="Arial"/>
                <w:sz w:val="22"/>
              </w:rPr>
            </w:pPr>
            <w:r>
              <w:t>Anlage 08</w:t>
            </w:r>
          </w:p>
        </w:tc>
        <w:tc>
          <w:tcPr>
            <w:tcW w:w="4784" w:type="dxa"/>
          </w:tcPr>
          <w:p w14:paraId="5BDB5EB6" w14:textId="3FD35127" w:rsidR="00D73FCD" w:rsidRPr="00B90D81" w:rsidRDefault="0033156F" w:rsidP="00D73FCD">
            <w:pPr>
              <w:rPr>
                <w:rFonts w:cs="Arial"/>
                <w:sz w:val="22"/>
                <w:lang w:val="de-DE"/>
              </w:rPr>
            </w:pPr>
            <w:r>
              <w:rPr>
                <w:lang w:val="de-DE"/>
              </w:rPr>
              <w:t>ISMS-Anforderungskatalog</w:t>
            </w:r>
          </w:p>
        </w:tc>
      </w:tr>
      <w:tr w:rsidR="00D73FCD" w:rsidRPr="00B90D81" w14:paraId="4B509CF6" w14:textId="77777777" w:rsidTr="00B90D81">
        <w:trPr>
          <w:jc w:val="center"/>
        </w:trPr>
        <w:tc>
          <w:tcPr>
            <w:tcW w:w="4781" w:type="dxa"/>
          </w:tcPr>
          <w:p w14:paraId="24888817" w14:textId="2B0B5253" w:rsidR="00D73FCD" w:rsidRPr="00D12263" w:rsidRDefault="00D73FCD" w:rsidP="00D73FCD">
            <w:pPr>
              <w:rPr>
                <w:rFonts w:cs="Arial"/>
                <w:sz w:val="22"/>
              </w:rPr>
            </w:pPr>
            <w:r>
              <w:t>Anlage 09</w:t>
            </w:r>
          </w:p>
        </w:tc>
        <w:tc>
          <w:tcPr>
            <w:tcW w:w="4784" w:type="dxa"/>
          </w:tcPr>
          <w:p w14:paraId="24D99C5F" w14:textId="4294CBA6" w:rsidR="00D73FCD" w:rsidRPr="00B90D81" w:rsidRDefault="00D73FCD" w:rsidP="00D73FCD">
            <w:pPr>
              <w:rPr>
                <w:rFonts w:cs="Arial"/>
                <w:sz w:val="22"/>
                <w:lang w:val="de-DE"/>
              </w:rPr>
            </w:pPr>
            <w:r>
              <w:rPr>
                <w:lang w:val="de-DE"/>
              </w:rPr>
              <w:t xml:space="preserve">Das Angebot des Auftragnehmers </w:t>
            </w:r>
          </w:p>
        </w:tc>
      </w:tr>
      <w:tr w:rsidR="003F2B34" w:rsidRPr="009D1E8D" w14:paraId="6486AA11" w14:textId="77777777">
        <w:trPr>
          <w:jc w:val="center"/>
        </w:trPr>
        <w:tc>
          <w:tcPr>
            <w:tcW w:w="4781" w:type="dxa"/>
          </w:tcPr>
          <w:p w14:paraId="2ACA64DC" w14:textId="55DF3E71" w:rsidR="003F2B34" w:rsidRPr="00045439" w:rsidRDefault="003F2B34" w:rsidP="00D73FCD">
            <w:r>
              <w:t xml:space="preserve">Anlage </w:t>
            </w:r>
            <w:proofErr w:type="gramStart"/>
            <w:r>
              <w:t>10</w:t>
            </w:r>
            <w:proofErr w:type="gramEnd"/>
          </w:p>
        </w:tc>
        <w:tc>
          <w:tcPr>
            <w:tcW w:w="4784" w:type="dxa"/>
          </w:tcPr>
          <w:p w14:paraId="318C0ACA" w14:textId="41222F22" w:rsidR="003F2B34" w:rsidRPr="003F2B34" w:rsidRDefault="009D1E8D" w:rsidP="00D73FCD">
            <w:pPr>
              <w:rPr>
                <w:lang w:val="de-DE"/>
              </w:rPr>
            </w:pPr>
            <w:r w:rsidRPr="006F58BB">
              <w:rPr>
                <w:szCs w:val="21"/>
                <w:lang w:val="de-DE"/>
              </w:rPr>
              <w:t>Die AEB der DVB AG</w:t>
            </w:r>
            <w:r>
              <w:rPr>
                <w:szCs w:val="21"/>
                <w:lang w:val="de-DE"/>
              </w:rPr>
              <w:t>:</w:t>
            </w:r>
            <w:r w:rsidRPr="006F58BB">
              <w:rPr>
                <w:szCs w:val="21"/>
                <w:lang w:val="de-DE"/>
              </w:rPr>
              <w:t xml:space="preserve"> Stand 25.11.2025</w:t>
            </w:r>
          </w:p>
        </w:tc>
      </w:tr>
    </w:tbl>
    <w:p w14:paraId="1E2E35CF" w14:textId="77777777" w:rsidR="00252D7F" w:rsidRPr="00D12263" w:rsidRDefault="00252D7F">
      <w:pPr>
        <w:pStyle w:val="berschrift1"/>
        <w:rPr>
          <w:rFonts w:ascii="Arial" w:eastAsia="Arial" w:hAnsi="Arial" w:cs="Arial"/>
          <w:sz w:val="22"/>
          <w:szCs w:val="22"/>
          <w:lang w:val="de-DE"/>
        </w:rPr>
      </w:pPr>
    </w:p>
    <w:p w14:paraId="192D025B" w14:textId="77777777" w:rsidR="006C41F8" w:rsidRPr="00D12263" w:rsidRDefault="006C41F8" w:rsidP="006C41F8">
      <w:pPr>
        <w:rPr>
          <w:rFonts w:cs="Arial"/>
          <w:sz w:val="22"/>
          <w:lang w:val="de-DE"/>
        </w:rPr>
      </w:pPr>
    </w:p>
    <w:p w14:paraId="254E84A1" w14:textId="77777777" w:rsidR="00990108" w:rsidRDefault="00990108" w:rsidP="00990108">
      <w:pPr>
        <w:rPr>
          <w:rFonts w:cs="Arial"/>
          <w:sz w:val="22"/>
          <w:lang w:val="de-DE"/>
        </w:rPr>
      </w:pPr>
    </w:p>
    <w:p w14:paraId="2A944064" w14:textId="77777777" w:rsidR="002C050A" w:rsidRDefault="002C050A" w:rsidP="00990108">
      <w:pPr>
        <w:rPr>
          <w:rFonts w:cs="Arial"/>
          <w:sz w:val="22"/>
          <w:lang w:val="de-DE"/>
        </w:rPr>
      </w:pPr>
    </w:p>
    <w:p w14:paraId="73A05100" w14:textId="77777777" w:rsidR="002C050A" w:rsidRPr="00D12263" w:rsidRDefault="002C050A" w:rsidP="00990108">
      <w:pPr>
        <w:rPr>
          <w:rFonts w:cs="Arial"/>
          <w:sz w:val="22"/>
          <w:lang w:val="de-DE"/>
        </w:rPr>
      </w:pPr>
    </w:p>
    <w:p w14:paraId="6C401D88" w14:textId="79CEFDAC" w:rsidR="001E4ACA" w:rsidRPr="007B68A0" w:rsidRDefault="001E4ACA" w:rsidP="00B90D81">
      <w:pPr>
        <w:rPr>
          <w:rFonts w:cs="Arial"/>
          <w:sz w:val="22"/>
          <w:lang w:val="de-DE"/>
        </w:rPr>
      </w:pPr>
    </w:p>
    <w:tbl>
      <w:tblPr>
        <w:tblStyle w:val="Tabellenraster"/>
        <w:tblW w:w="8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10"/>
        <w:gridCol w:w="744"/>
        <w:gridCol w:w="4110"/>
      </w:tblGrid>
      <w:tr w:rsidR="002C050A" w:rsidRPr="00965E5F" w14:paraId="0F2FD416" w14:textId="77777777">
        <w:tc>
          <w:tcPr>
            <w:tcW w:w="4110" w:type="dxa"/>
            <w:tcBorders>
              <w:bottom w:val="single" w:sz="8" w:space="0" w:color="808080"/>
            </w:tcBorders>
          </w:tcPr>
          <w:p w14:paraId="6669929F" w14:textId="77777777" w:rsidR="002C050A" w:rsidRPr="00C04625" w:rsidRDefault="002C050A" w:rsidP="00A41DCF">
            <w:pPr>
              <w:pStyle w:val="Tabelle-11-schmal"/>
              <w:keepNext/>
            </w:pPr>
            <w:r>
              <w:lastRenderedPageBreak/>
              <w:t>Dresden, den [</w:t>
            </w:r>
            <w:r>
              <w:rPr>
                <w:highlight w:val="yellow"/>
              </w:rPr>
              <w:t>●</w:t>
            </w:r>
            <w:r>
              <w:t>]</w:t>
            </w:r>
          </w:p>
        </w:tc>
        <w:tc>
          <w:tcPr>
            <w:tcW w:w="744" w:type="dxa"/>
          </w:tcPr>
          <w:p w14:paraId="7B2AD21F" w14:textId="77777777" w:rsidR="002C050A" w:rsidRPr="00F44F7D" w:rsidRDefault="002C050A" w:rsidP="00A41DCF">
            <w:pPr>
              <w:pStyle w:val="Tabelle-11-schmal"/>
              <w:keepNext/>
              <w:rPr>
                <w:rFonts w:cs="Arial"/>
                <w:bCs/>
              </w:rPr>
            </w:pPr>
          </w:p>
        </w:tc>
        <w:tc>
          <w:tcPr>
            <w:tcW w:w="4110" w:type="dxa"/>
            <w:tcBorders>
              <w:bottom w:val="single" w:sz="8" w:space="0" w:color="808080"/>
            </w:tcBorders>
          </w:tcPr>
          <w:p w14:paraId="34CBF2D6" w14:textId="77777777" w:rsidR="002C050A" w:rsidRPr="00C04625" w:rsidRDefault="002C050A" w:rsidP="00A41DCF">
            <w:pPr>
              <w:pStyle w:val="Tabelle-11-schmal"/>
              <w:keepNext/>
            </w:pPr>
            <w:r>
              <w:rPr>
                <w:i/>
              </w:rPr>
              <w:br w:type="page"/>
            </w:r>
            <w:r>
              <w:t>Dresden, den [</w:t>
            </w:r>
            <w:r>
              <w:rPr>
                <w:highlight w:val="yellow"/>
              </w:rPr>
              <w:t>●</w:t>
            </w:r>
            <w:r>
              <w:t xml:space="preserve">] </w:t>
            </w:r>
          </w:p>
        </w:tc>
      </w:tr>
      <w:tr w:rsidR="002C050A" w:rsidRPr="00965E5F" w14:paraId="35DFCCF7" w14:textId="77777777">
        <w:tc>
          <w:tcPr>
            <w:tcW w:w="4110" w:type="dxa"/>
            <w:tcBorders>
              <w:top w:val="single" w:sz="8" w:space="0" w:color="808080"/>
            </w:tcBorders>
          </w:tcPr>
          <w:p w14:paraId="38E80963" w14:textId="77777777" w:rsidR="002C050A" w:rsidRPr="00F44F7D" w:rsidRDefault="002C050A" w:rsidP="00A41DCF">
            <w:pPr>
              <w:pStyle w:val="Text-8-Linksbndig"/>
              <w:keepNext/>
            </w:pPr>
            <w:r>
              <w:t>Ort, Datum</w:t>
            </w:r>
          </w:p>
        </w:tc>
        <w:tc>
          <w:tcPr>
            <w:tcW w:w="744" w:type="dxa"/>
          </w:tcPr>
          <w:p w14:paraId="38BCFA0D" w14:textId="77777777" w:rsidR="002C050A" w:rsidRPr="00F44F7D" w:rsidRDefault="002C050A" w:rsidP="00A41DCF">
            <w:pPr>
              <w:pStyle w:val="Text-8-Linksbndig"/>
              <w:keepNext/>
              <w:rPr>
                <w:bCs/>
              </w:rPr>
            </w:pPr>
          </w:p>
        </w:tc>
        <w:tc>
          <w:tcPr>
            <w:tcW w:w="4110" w:type="dxa"/>
            <w:tcBorders>
              <w:top w:val="single" w:sz="8" w:space="0" w:color="808080"/>
            </w:tcBorders>
          </w:tcPr>
          <w:p w14:paraId="44D18B74" w14:textId="77777777" w:rsidR="002C050A" w:rsidRPr="00F44F7D" w:rsidRDefault="002C050A" w:rsidP="00A41DCF">
            <w:pPr>
              <w:pStyle w:val="Text-8-Linksbndig"/>
              <w:keepNext/>
            </w:pPr>
            <w:r>
              <w:t>Ort, Datum</w:t>
            </w:r>
          </w:p>
        </w:tc>
      </w:tr>
      <w:tr w:rsidR="002C050A" w:rsidRPr="00965E5F" w14:paraId="3BE0DB2D" w14:textId="77777777">
        <w:tc>
          <w:tcPr>
            <w:tcW w:w="4110" w:type="dxa"/>
          </w:tcPr>
          <w:p w14:paraId="65C6E1D1" w14:textId="77777777" w:rsidR="002C050A" w:rsidRPr="00F44F7D" w:rsidRDefault="002C050A" w:rsidP="00A41DCF">
            <w:pPr>
              <w:pStyle w:val="Tabelle-11-schmal"/>
              <w:keepNext/>
            </w:pPr>
            <w:r>
              <w:t>Dresdner Verkehrsbetriebe AG</w:t>
            </w:r>
          </w:p>
        </w:tc>
        <w:tc>
          <w:tcPr>
            <w:tcW w:w="744" w:type="dxa"/>
          </w:tcPr>
          <w:p w14:paraId="19D1F0B6" w14:textId="77777777" w:rsidR="002C050A" w:rsidRPr="00F44F7D" w:rsidRDefault="002C050A" w:rsidP="00A41DCF">
            <w:pPr>
              <w:pStyle w:val="Tabelle-11-schmal"/>
              <w:keepNext/>
            </w:pPr>
          </w:p>
        </w:tc>
        <w:tc>
          <w:tcPr>
            <w:tcW w:w="4110" w:type="dxa"/>
          </w:tcPr>
          <w:p w14:paraId="260C2B2B" w14:textId="77777777" w:rsidR="002C050A" w:rsidRPr="00F44F7D" w:rsidRDefault="002C050A" w:rsidP="00A41DCF">
            <w:pPr>
              <w:pStyle w:val="Tabelle-11-schmal"/>
              <w:keepNext/>
            </w:pPr>
            <w:r>
              <w:t>Dresdner Verkehrsbetriebe AG</w:t>
            </w:r>
          </w:p>
        </w:tc>
      </w:tr>
      <w:tr w:rsidR="002C050A" w:rsidRPr="00965E5F" w14:paraId="52DD93C2" w14:textId="77777777">
        <w:tc>
          <w:tcPr>
            <w:tcW w:w="4110" w:type="dxa"/>
          </w:tcPr>
          <w:p w14:paraId="3C451CEC" w14:textId="77777777" w:rsidR="002C050A" w:rsidRPr="00F44F7D" w:rsidRDefault="002C050A" w:rsidP="00A41DCF">
            <w:pPr>
              <w:pStyle w:val="Tabelle-11-schmal"/>
              <w:keepNext/>
            </w:pPr>
          </w:p>
        </w:tc>
        <w:tc>
          <w:tcPr>
            <w:tcW w:w="744" w:type="dxa"/>
          </w:tcPr>
          <w:p w14:paraId="42735FD4" w14:textId="77777777" w:rsidR="002C050A" w:rsidRPr="00F44F7D" w:rsidRDefault="002C050A" w:rsidP="00A41DCF">
            <w:pPr>
              <w:pStyle w:val="Tabelle-11-schmal"/>
              <w:keepNext/>
            </w:pPr>
          </w:p>
        </w:tc>
        <w:tc>
          <w:tcPr>
            <w:tcW w:w="4110" w:type="dxa"/>
          </w:tcPr>
          <w:p w14:paraId="5F30168A" w14:textId="77777777" w:rsidR="002C050A" w:rsidRPr="00F44F7D" w:rsidRDefault="002C050A" w:rsidP="00A41DCF">
            <w:pPr>
              <w:pStyle w:val="Tabelle-11-schmal"/>
              <w:keepNext/>
            </w:pPr>
          </w:p>
        </w:tc>
      </w:tr>
      <w:tr w:rsidR="002C050A" w:rsidRPr="00965E5F" w14:paraId="3F50A9E1" w14:textId="77777777">
        <w:tc>
          <w:tcPr>
            <w:tcW w:w="4110" w:type="dxa"/>
            <w:tcBorders>
              <w:bottom w:val="single" w:sz="8" w:space="0" w:color="808080"/>
            </w:tcBorders>
          </w:tcPr>
          <w:p w14:paraId="197A5B56" w14:textId="77777777" w:rsidR="002C050A" w:rsidRPr="00F44F7D" w:rsidRDefault="002C050A">
            <w:pPr>
              <w:pStyle w:val="Tabelle-11-schmal"/>
            </w:pPr>
          </w:p>
        </w:tc>
        <w:tc>
          <w:tcPr>
            <w:tcW w:w="744" w:type="dxa"/>
          </w:tcPr>
          <w:p w14:paraId="060EAE43" w14:textId="77777777" w:rsidR="002C050A" w:rsidRPr="00F44F7D" w:rsidRDefault="002C050A">
            <w:pPr>
              <w:pStyle w:val="Tabelle-11-schmal"/>
            </w:pPr>
          </w:p>
        </w:tc>
        <w:tc>
          <w:tcPr>
            <w:tcW w:w="4110" w:type="dxa"/>
            <w:tcBorders>
              <w:bottom w:val="single" w:sz="8" w:space="0" w:color="808080"/>
            </w:tcBorders>
          </w:tcPr>
          <w:p w14:paraId="7C4006C5" w14:textId="77777777" w:rsidR="002C050A" w:rsidRPr="00F44F7D" w:rsidRDefault="002C050A">
            <w:pPr>
              <w:pStyle w:val="Tabelle-11-schmal"/>
            </w:pPr>
          </w:p>
        </w:tc>
      </w:tr>
      <w:tr w:rsidR="002C050A" w:rsidRPr="009D1E8D" w14:paraId="1FD0D501" w14:textId="77777777">
        <w:tc>
          <w:tcPr>
            <w:tcW w:w="4110" w:type="dxa"/>
            <w:tcBorders>
              <w:top w:val="single" w:sz="8" w:space="0" w:color="808080"/>
            </w:tcBorders>
          </w:tcPr>
          <w:p w14:paraId="1491EF63" w14:textId="77777777" w:rsidR="002C050A" w:rsidRDefault="002C050A">
            <w:pPr>
              <w:pStyle w:val="Text-8-Linksbndig"/>
            </w:pPr>
            <w:r>
              <w:t>Andreas Hemmersbach</w:t>
            </w:r>
          </w:p>
          <w:p w14:paraId="3D9969DA" w14:textId="38583E6A" w:rsidR="002C050A" w:rsidRPr="002914C8" w:rsidRDefault="002C050A">
            <w:pPr>
              <w:pStyle w:val="Text-8-Linksbndig"/>
            </w:pPr>
            <w:r>
              <w:t>Vorstand - Mobilität</w:t>
            </w:r>
          </w:p>
        </w:tc>
        <w:tc>
          <w:tcPr>
            <w:tcW w:w="744" w:type="dxa"/>
          </w:tcPr>
          <w:p w14:paraId="417EB593" w14:textId="77777777" w:rsidR="002C050A" w:rsidRPr="00F44F7D" w:rsidRDefault="002C050A">
            <w:pPr>
              <w:pStyle w:val="Text-8-Linksbndig"/>
              <w:rPr>
                <w:bCs/>
              </w:rPr>
            </w:pPr>
          </w:p>
        </w:tc>
        <w:tc>
          <w:tcPr>
            <w:tcW w:w="4110" w:type="dxa"/>
            <w:tcBorders>
              <w:top w:val="single" w:sz="8" w:space="0" w:color="808080"/>
            </w:tcBorders>
          </w:tcPr>
          <w:p w14:paraId="35089907" w14:textId="77777777" w:rsidR="002C050A" w:rsidRDefault="002C050A">
            <w:pPr>
              <w:pStyle w:val="Text-8-Linksbndig"/>
            </w:pPr>
            <w:r>
              <w:t>Lars Seiffert</w:t>
            </w:r>
          </w:p>
          <w:p w14:paraId="25E3661B" w14:textId="06FA238B" w:rsidR="002C050A" w:rsidRPr="00F44F7D" w:rsidRDefault="002C050A">
            <w:pPr>
              <w:pStyle w:val="Text-8-Linksbndig"/>
              <w:rPr>
                <w:bCs/>
              </w:rPr>
            </w:pPr>
            <w:r>
              <w:t>Vorstand – Arbeitswelt und Fahrbetrieb</w:t>
            </w:r>
          </w:p>
        </w:tc>
      </w:tr>
      <w:tr w:rsidR="002C050A" w:rsidRPr="00C04625" w14:paraId="6CBAED60" w14:textId="77777777">
        <w:trPr>
          <w:gridAfter w:val="1"/>
          <w:wAfter w:w="4110" w:type="dxa"/>
        </w:trPr>
        <w:tc>
          <w:tcPr>
            <w:tcW w:w="4110" w:type="dxa"/>
            <w:tcBorders>
              <w:bottom w:val="single" w:sz="8" w:space="0" w:color="808080"/>
            </w:tcBorders>
          </w:tcPr>
          <w:p w14:paraId="29884DDF" w14:textId="77777777" w:rsidR="002C050A" w:rsidRDefault="002C050A">
            <w:pPr>
              <w:pStyle w:val="Tabelle-11-schmal"/>
            </w:pPr>
          </w:p>
          <w:p w14:paraId="6D203AED" w14:textId="77777777" w:rsidR="002C050A" w:rsidRPr="00C04625" w:rsidRDefault="002C050A">
            <w:pPr>
              <w:pStyle w:val="Tabelle-11-schmal"/>
            </w:pPr>
            <w:r>
              <w:t>[</w:t>
            </w:r>
            <w:r>
              <w:rPr>
                <w:highlight w:val="yellow"/>
              </w:rPr>
              <w:t>●</w:t>
            </w:r>
            <w:r>
              <w:t>], den [</w:t>
            </w:r>
            <w:r>
              <w:rPr>
                <w:highlight w:val="yellow"/>
              </w:rPr>
              <w:t>●</w:t>
            </w:r>
            <w:r>
              <w:t>]</w:t>
            </w:r>
          </w:p>
        </w:tc>
        <w:tc>
          <w:tcPr>
            <w:tcW w:w="744" w:type="dxa"/>
          </w:tcPr>
          <w:p w14:paraId="08818AEA" w14:textId="77777777" w:rsidR="002C050A" w:rsidRPr="00F44F7D" w:rsidRDefault="002C050A">
            <w:pPr>
              <w:pStyle w:val="Tabelle-11-schmal"/>
              <w:rPr>
                <w:rFonts w:cs="Arial"/>
                <w:bCs/>
              </w:rPr>
            </w:pPr>
          </w:p>
        </w:tc>
      </w:tr>
      <w:tr w:rsidR="002C050A" w:rsidRPr="00F44F7D" w14:paraId="718B2E6A" w14:textId="77777777">
        <w:trPr>
          <w:gridAfter w:val="1"/>
          <w:wAfter w:w="4110" w:type="dxa"/>
        </w:trPr>
        <w:tc>
          <w:tcPr>
            <w:tcW w:w="4110" w:type="dxa"/>
            <w:tcBorders>
              <w:top w:val="single" w:sz="8" w:space="0" w:color="808080"/>
            </w:tcBorders>
          </w:tcPr>
          <w:p w14:paraId="5A3168D2" w14:textId="77777777" w:rsidR="002C050A" w:rsidRPr="00F44F7D" w:rsidRDefault="002C050A">
            <w:pPr>
              <w:pStyle w:val="Text-8-Linksbndig"/>
            </w:pPr>
            <w:r>
              <w:t>Ort, Datum</w:t>
            </w:r>
          </w:p>
        </w:tc>
        <w:tc>
          <w:tcPr>
            <w:tcW w:w="744" w:type="dxa"/>
          </w:tcPr>
          <w:p w14:paraId="348F1E53" w14:textId="77777777" w:rsidR="002C050A" w:rsidRPr="00F44F7D" w:rsidRDefault="002C050A">
            <w:pPr>
              <w:pStyle w:val="Text-8-Linksbndig"/>
              <w:rPr>
                <w:bCs/>
              </w:rPr>
            </w:pPr>
          </w:p>
        </w:tc>
      </w:tr>
      <w:tr w:rsidR="002C050A" w:rsidRPr="00F44F7D" w14:paraId="7C7DE72C" w14:textId="77777777">
        <w:trPr>
          <w:gridAfter w:val="1"/>
          <w:wAfter w:w="4110" w:type="dxa"/>
        </w:trPr>
        <w:tc>
          <w:tcPr>
            <w:tcW w:w="4110" w:type="dxa"/>
          </w:tcPr>
          <w:p w14:paraId="038097AA" w14:textId="77777777" w:rsidR="002C050A" w:rsidRPr="00F44F7D" w:rsidRDefault="002C050A">
            <w:pPr>
              <w:pStyle w:val="Tabelle-11-schmal"/>
            </w:pPr>
          </w:p>
        </w:tc>
        <w:tc>
          <w:tcPr>
            <w:tcW w:w="744" w:type="dxa"/>
          </w:tcPr>
          <w:p w14:paraId="774711AC" w14:textId="77777777" w:rsidR="002C050A" w:rsidRPr="00F44F7D" w:rsidRDefault="002C050A">
            <w:pPr>
              <w:pStyle w:val="Tabelle-11-schmal"/>
            </w:pPr>
          </w:p>
        </w:tc>
      </w:tr>
      <w:tr w:rsidR="002C050A" w:rsidRPr="00F44F7D" w14:paraId="1E4F0C0C" w14:textId="77777777">
        <w:trPr>
          <w:gridAfter w:val="1"/>
          <w:wAfter w:w="4110" w:type="dxa"/>
        </w:trPr>
        <w:tc>
          <w:tcPr>
            <w:tcW w:w="4110" w:type="dxa"/>
          </w:tcPr>
          <w:p w14:paraId="051A6E36" w14:textId="77777777" w:rsidR="002C050A" w:rsidRPr="00F44F7D" w:rsidRDefault="002C050A">
            <w:pPr>
              <w:pStyle w:val="Tabelle-11-schmal"/>
            </w:pPr>
          </w:p>
        </w:tc>
        <w:tc>
          <w:tcPr>
            <w:tcW w:w="744" w:type="dxa"/>
          </w:tcPr>
          <w:p w14:paraId="6202BE65" w14:textId="77777777" w:rsidR="002C050A" w:rsidRPr="00F44F7D" w:rsidRDefault="002C050A">
            <w:pPr>
              <w:pStyle w:val="Tabelle-11-schmal"/>
            </w:pPr>
          </w:p>
        </w:tc>
      </w:tr>
      <w:tr w:rsidR="002C050A" w:rsidRPr="00F44F7D" w14:paraId="40A65202" w14:textId="77777777">
        <w:trPr>
          <w:gridAfter w:val="1"/>
          <w:wAfter w:w="4110" w:type="dxa"/>
        </w:trPr>
        <w:tc>
          <w:tcPr>
            <w:tcW w:w="4110" w:type="dxa"/>
            <w:tcBorders>
              <w:bottom w:val="single" w:sz="8" w:space="0" w:color="808080"/>
            </w:tcBorders>
          </w:tcPr>
          <w:p w14:paraId="598DFCA7" w14:textId="77777777" w:rsidR="002C050A" w:rsidRPr="00F44F7D" w:rsidRDefault="002C050A">
            <w:pPr>
              <w:pStyle w:val="Tabelle-11-schmal"/>
            </w:pPr>
          </w:p>
        </w:tc>
        <w:tc>
          <w:tcPr>
            <w:tcW w:w="744" w:type="dxa"/>
          </w:tcPr>
          <w:p w14:paraId="372279C5" w14:textId="77777777" w:rsidR="002C050A" w:rsidRPr="00F44F7D" w:rsidRDefault="002C050A">
            <w:pPr>
              <w:pStyle w:val="Tabelle-11-schmal"/>
            </w:pPr>
          </w:p>
        </w:tc>
      </w:tr>
      <w:tr w:rsidR="002C050A" w:rsidRPr="00F44F7D" w14:paraId="138C1B25" w14:textId="77777777">
        <w:trPr>
          <w:gridAfter w:val="1"/>
          <w:wAfter w:w="4110" w:type="dxa"/>
        </w:trPr>
        <w:tc>
          <w:tcPr>
            <w:tcW w:w="4110" w:type="dxa"/>
            <w:tcBorders>
              <w:top w:val="single" w:sz="8" w:space="0" w:color="808080"/>
            </w:tcBorders>
          </w:tcPr>
          <w:p w14:paraId="47A4EF97" w14:textId="77777777" w:rsidR="002C050A" w:rsidRPr="002914C8" w:rsidRDefault="002C050A">
            <w:pPr>
              <w:pStyle w:val="Text-8-Linksbndig"/>
            </w:pPr>
            <w:r>
              <w:rPr>
                <w:highlight w:val="yellow"/>
              </w:rPr>
              <w:t>[Name und Funktion</w:t>
            </w:r>
            <w:r>
              <w:t>]</w:t>
            </w:r>
          </w:p>
        </w:tc>
        <w:tc>
          <w:tcPr>
            <w:tcW w:w="744" w:type="dxa"/>
          </w:tcPr>
          <w:p w14:paraId="1D885E08" w14:textId="77777777" w:rsidR="002C050A" w:rsidRPr="00F44F7D" w:rsidRDefault="002C050A">
            <w:pPr>
              <w:pStyle w:val="Text-8-Linksbndig"/>
              <w:rPr>
                <w:bCs/>
              </w:rPr>
            </w:pPr>
          </w:p>
        </w:tc>
      </w:tr>
    </w:tbl>
    <w:p w14:paraId="03E43FA0" w14:textId="77777777" w:rsidR="002C050A" w:rsidRPr="00413501" w:rsidRDefault="002C050A" w:rsidP="00B90D81">
      <w:pPr>
        <w:rPr>
          <w:rFonts w:cs="Arial"/>
          <w:sz w:val="24"/>
          <w:szCs w:val="24"/>
        </w:rPr>
      </w:pPr>
    </w:p>
    <w:sectPr w:rsidR="002C050A" w:rsidRPr="00413501" w:rsidSect="006C41F8">
      <w:headerReference w:type="default" r:id="rId11"/>
      <w:footerReference w:type="default" r:id="rId12"/>
      <w:pgSz w:w="12240" w:h="15840"/>
      <w:pgMar w:top="2126" w:right="1247"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B3EAA" w14:textId="77777777" w:rsidR="009619A8" w:rsidRDefault="009619A8">
      <w:pPr>
        <w:spacing w:after="0" w:line="240" w:lineRule="auto"/>
      </w:pPr>
      <w:r>
        <w:separator/>
      </w:r>
    </w:p>
  </w:endnote>
  <w:endnote w:type="continuationSeparator" w:id="0">
    <w:p w14:paraId="057DE2F2" w14:textId="77777777" w:rsidR="009619A8" w:rsidRDefault="0096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elveticaNeueLT Com 45 Lt">
    <w:altName w:val="Times New Roman"/>
    <w:charset w:val="00"/>
    <w:family w:val="swiss"/>
    <w:pitch w:val="variable"/>
    <w:sig w:usb0="8000008F" w:usb1="10002042"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848" w14:textId="67ADEF44" w:rsidR="00CA2BD5" w:rsidRPr="0049483F" w:rsidRDefault="0049483F" w:rsidP="0049483F">
    <w:pPr>
      <w:pStyle w:val="Fuzeile"/>
    </w:pPr>
    <w:r>
      <w:rPr>
        <w:rFonts w:cs="Arial"/>
        <w:smallCaps/>
        <w:sz w:val="20"/>
        <w:szCs w:val="20"/>
      </w:rPr>
      <w:tab/>
    </w:r>
    <w:r w:rsidRPr="00D8216F">
      <w:rPr>
        <w:rFonts w:cs="Arial"/>
        <w:smallCaps/>
        <w:sz w:val="20"/>
        <w:szCs w:val="20"/>
      </w:rPr>
      <w:t xml:space="preserve">Seite </w:t>
    </w:r>
    <w:r w:rsidRPr="00D8216F">
      <w:rPr>
        <w:rFonts w:cs="Arial"/>
        <w:smallCaps/>
        <w:sz w:val="20"/>
        <w:szCs w:val="20"/>
      </w:rPr>
      <w:fldChar w:fldCharType="begin"/>
    </w:r>
    <w:r w:rsidRPr="00D8216F">
      <w:rPr>
        <w:rFonts w:cs="Arial"/>
        <w:smallCaps/>
        <w:sz w:val="20"/>
        <w:szCs w:val="20"/>
      </w:rPr>
      <w:instrText xml:space="preserve"> PAGE </w:instrText>
    </w:r>
    <w:r w:rsidRPr="00D8216F">
      <w:rPr>
        <w:rFonts w:cs="Arial"/>
        <w:smallCaps/>
        <w:sz w:val="20"/>
        <w:szCs w:val="20"/>
      </w:rPr>
      <w:fldChar w:fldCharType="separate"/>
    </w:r>
    <w:proofErr w:type="gramStart"/>
    <w:r>
      <w:rPr>
        <w:rFonts w:cs="Arial"/>
        <w:smallCaps/>
        <w:sz w:val="20"/>
        <w:szCs w:val="20"/>
      </w:rPr>
      <w:t>2</w:t>
    </w:r>
    <w:proofErr w:type="gramEnd"/>
    <w:r w:rsidRPr="00D8216F">
      <w:rPr>
        <w:rFonts w:cs="Arial"/>
        <w:smallCaps/>
        <w:sz w:val="20"/>
        <w:szCs w:val="20"/>
      </w:rPr>
      <w:fldChar w:fldCharType="end"/>
    </w:r>
    <w:r w:rsidRPr="00D8216F">
      <w:rPr>
        <w:rFonts w:cs="Arial"/>
        <w:smallCaps/>
        <w:sz w:val="20"/>
        <w:szCs w:val="20"/>
      </w:rPr>
      <w:t xml:space="preserve"> von </w:t>
    </w:r>
    <w:r w:rsidRPr="00D8216F">
      <w:rPr>
        <w:rFonts w:cs="Arial"/>
        <w:smallCaps/>
        <w:sz w:val="20"/>
        <w:szCs w:val="20"/>
      </w:rPr>
      <w:fldChar w:fldCharType="begin"/>
    </w:r>
    <w:r w:rsidRPr="00D8216F">
      <w:rPr>
        <w:rFonts w:cs="Arial"/>
        <w:smallCaps/>
        <w:sz w:val="20"/>
        <w:szCs w:val="20"/>
      </w:rPr>
      <w:instrText xml:space="preserve"> NUMPAGES </w:instrText>
    </w:r>
    <w:r w:rsidRPr="00D8216F">
      <w:rPr>
        <w:rFonts w:cs="Arial"/>
        <w:smallCaps/>
        <w:sz w:val="20"/>
        <w:szCs w:val="20"/>
      </w:rPr>
      <w:fldChar w:fldCharType="separate"/>
    </w:r>
    <w:r>
      <w:rPr>
        <w:rFonts w:cs="Arial"/>
        <w:smallCaps/>
        <w:sz w:val="20"/>
        <w:szCs w:val="20"/>
      </w:rPr>
      <w:t>1</w:t>
    </w:r>
    <w:proofErr w:type="gramStart"/>
    <w:r>
      <w:rPr>
        <w:rFonts w:cs="Arial"/>
        <w:smallCaps/>
        <w:sz w:val="20"/>
        <w:szCs w:val="20"/>
      </w:rPr>
      <w:t>3</w:t>
    </w:r>
    <w:proofErr w:type="gramEnd"/>
    <w:r w:rsidRPr="00D8216F">
      <w:rPr>
        <w:rFonts w:cs="Arial"/>
        <w:smallCap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F15D" w14:textId="77777777" w:rsidR="009619A8" w:rsidRDefault="009619A8">
      <w:pPr>
        <w:spacing w:after="0" w:line="240" w:lineRule="auto"/>
      </w:pPr>
      <w:r>
        <w:separator/>
      </w:r>
    </w:p>
  </w:footnote>
  <w:footnote w:type="continuationSeparator" w:id="0">
    <w:p w14:paraId="78B86B54" w14:textId="77777777" w:rsidR="009619A8" w:rsidRDefault="00961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E4D7" w14:textId="16681CC6" w:rsidR="002C050A" w:rsidRPr="002C050A" w:rsidRDefault="009619A8" w:rsidP="002C050A">
    <w:pPr>
      <w:tabs>
        <w:tab w:val="center" w:pos="4536"/>
        <w:tab w:val="right" w:pos="9072"/>
      </w:tabs>
      <w:ind w:right="1800"/>
      <w:rPr>
        <w:rFonts w:eastAsia="HelveticaNeueLT Com 45 Lt" w:cs="Times New Roman"/>
        <w:i/>
        <w:sz w:val="22"/>
        <w:lang w:val="de-DE"/>
      </w:rPr>
    </w:pPr>
    <w:sdt>
      <w:sdtPr>
        <w:rPr>
          <w:rFonts w:eastAsia="HelveticaNeueLT Com 45 Lt" w:cs="Times New Roman"/>
          <w:b/>
          <w:sz w:val="22"/>
          <w:lang w:val="de-DE"/>
        </w:rPr>
        <w:id w:val="308673431"/>
        <w:docPartObj>
          <w:docPartGallery w:val="Watermarks"/>
          <w:docPartUnique/>
        </w:docPartObj>
      </w:sdtPr>
      <w:sdtEndPr/>
      <w:sdtContent>
        <w:r>
          <w:rPr>
            <w:rFonts w:eastAsia="HelveticaNeueLT Com 45 Lt" w:cs="Times New Roman"/>
            <w:b/>
            <w:sz w:val="22"/>
            <w:lang w:val="de-DE"/>
          </w:rPr>
          <w:pict w14:anchorId="279842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sdtContent>
    </w:sdt>
    <w:r w:rsidR="002C050A" w:rsidRPr="002C050A">
      <w:rPr>
        <w:rFonts w:eastAsia="HelveticaNeueLT Com 45 Lt" w:cs="Times New Roman"/>
        <w:b/>
        <w:noProof/>
        <w:sz w:val="22"/>
        <w:lang w:val="de-DE"/>
      </w:rPr>
      <w:drawing>
        <wp:anchor distT="0" distB="0" distL="114300" distR="114300" simplePos="0" relativeHeight="251657728" behindDoc="1" locked="0" layoutInCell="1" allowOverlap="1" wp14:anchorId="4DAC54DC" wp14:editId="4A11EAED">
          <wp:simplePos x="0" y="0"/>
          <wp:positionH relativeFrom="margin">
            <wp:align>right</wp:align>
          </wp:positionH>
          <wp:positionV relativeFrom="page">
            <wp:posOffset>467995</wp:posOffset>
          </wp:positionV>
          <wp:extent cx="1287145" cy="433705"/>
          <wp:effectExtent l="0" t="0" r="8255" b="4445"/>
          <wp:wrapSquare wrapText="bothSides"/>
          <wp:docPr id="459834740" name="Grafik 45983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002C050A" w:rsidRPr="002C050A">
      <w:rPr>
        <w:rFonts w:eastAsia="HelveticaNeueLT Com 45 Lt" w:cs="Times New Roman"/>
        <w:b/>
        <w:sz w:val="22"/>
        <w:lang w:val="de-DE"/>
      </w:rPr>
      <w:t xml:space="preserve">Entwicklung, Lieferung und </w:t>
    </w:r>
    <w:r w:rsidR="00EE2AE2">
      <w:rPr>
        <w:rFonts w:eastAsia="HelveticaNeueLT Com 45 Lt" w:cs="Times New Roman"/>
        <w:b/>
        <w:sz w:val="22"/>
        <w:lang w:val="de-DE"/>
      </w:rPr>
      <w:t>Ersatzversorgung</w:t>
    </w:r>
    <w:r w:rsidR="00EE2AE2" w:rsidRPr="002C050A">
      <w:rPr>
        <w:rFonts w:eastAsia="HelveticaNeueLT Com 45 Lt" w:cs="Times New Roman"/>
        <w:b/>
        <w:sz w:val="22"/>
        <w:lang w:val="de-DE"/>
      </w:rPr>
      <w:t xml:space="preserve"> </w:t>
    </w:r>
    <w:r w:rsidR="00F95A98">
      <w:rPr>
        <w:rFonts w:eastAsia="HelveticaNeueLT Com 45 Lt" w:cs="Times New Roman"/>
        <w:b/>
        <w:sz w:val="22"/>
        <w:lang w:val="de-DE"/>
      </w:rPr>
      <w:t>von</w:t>
    </w:r>
    <w:r w:rsidR="00F95A98" w:rsidRPr="002C050A">
      <w:rPr>
        <w:rFonts w:eastAsia="HelveticaNeueLT Com 45 Lt" w:cs="Times New Roman"/>
        <w:b/>
        <w:sz w:val="22"/>
        <w:lang w:val="de-DE"/>
      </w:rPr>
      <w:t xml:space="preserve"> </w:t>
    </w:r>
    <w:r w:rsidR="002C050A" w:rsidRPr="002C050A">
      <w:rPr>
        <w:rFonts w:eastAsia="HelveticaNeueLT Com 45 Lt" w:cs="Times New Roman"/>
        <w:b/>
        <w:sz w:val="22"/>
        <w:lang w:val="de-DE"/>
      </w:rPr>
      <w:t>Türsteuergeräte</w:t>
    </w:r>
    <w:r w:rsidR="00F95A98">
      <w:rPr>
        <w:rFonts w:eastAsia="HelveticaNeueLT Com 45 Lt" w:cs="Times New Roman"/>
        <w:b/>
        <w:sz w:val="22"/>
        <w:lang w:val="de-DE"/>
      </w:rPr>
      <w:t>n</w:t>
    </w:r>
    <w:r w:rsidR="002C050A" w:rsidRPr="002C050A">
      <w:rPr>
        <w:rFonts w:eastAsia="HelveticaNeueLT Com 45 Lt" w:cs="Times New Roman"/>
        <w:b/>
        <w:sz w:val="22"/>
        <w:lang w:val="de-DE"/>
      </w:rPr>
      <w:t xml:space="preserve"> für die Fahrzeugtypen NGT D8 DD und NGT D12 DD</w:t>
    </w:r>
    <w:r w:rsidR="002C050A" w:rsidRPr="002C050A">
      <w:rPr>
        <w:rFonts w:eastAsia="HelveticaNeueLT Com 45 Lt" w:cs="Times New Roman"/>
        <w:b/>
        <w:sz w:val="22"/>
        <w:lang w:val="de-DE"/>
      </w:rPr>
      <w:br/>
    </w:r>
    <w:r w:rsidR="002C050A" w:rsidRPr="002C050A">
      <w:rPr>
        <w:rFonts w:eastAsia="HelveticaNeueLT Com 45 Lt" w:cs="Times New Roman"/>
        <w:i/>
        <w:sz w:val="22"/>
        <w:lang w:val="de-DE"/>
      </w:rPr>
      <w:t>Vorgangsnummer: 2026-00172</w:t>
    </w:r>
  </w:p>
  <w:p w14:paraId="2D7B8490" w14:textId="7CE98D58" w:rsidR="00CA2BD5" w:rsidRPr="00413501" w:rsidRDefault="00080D3E" w:rsidP="002C050A">
    <w:pPr>
      <w:tabs>
        <w:tab w:val="left" w:pos="8010"/>
        <w:tab w:val="right" w:pos="9072"/>
      </w:tabs>
      <w:spacing w:after="200" w:line="276" w:lineRule="auto"/>
      <w:rPr>
        <w:lang w:val="de-DE"/>
      </w:rPr>
    </w:pPr>
    <w:r w:rsidRPr="00080D3E">
      <w:rPr>
        <w:rFonts w:eastAsia="HelveticaNeueLT Com 45 Lt" w:cs="Times New Roman"/>
        <w:b/>
        <w:noProof/>
        <w:sz w:val="24"/>
        <w:szCs w:val="24"/>
        <w:lang w:val="de-DE"/>
      </w:rPr>
      <mc:AlternateContent>
        <mc:Choice Requires="wps">
          <w:drawing>
            <wp:anchor distT="0" distB="0" distL="114300" distR="114300" simplePos="0" relativeHeight="251656704" behindDoc="0" locked="0" layoutInCell="1" allowOverlap="1" wp14:anchorId="3AD96882" wp14:editId="54F02A34">
              <wp:simplePos x="0" y="0"/>
              <wp:positionH relativeFrom="page">
                <wp:align>center</wp:align>
              </wp:positionH>
              <wp:positionV relativeFrom="paragraph">
                <wp:posOffset>84455</wp:posOffset>
              </wp:positionV>
              <wp:extent cx="7712710" cy="0"/>
              <wp:effectExtent l="0" t="0" r="0" b="0"/>
              <wp:wrapNone/>
              <wp:docPr id="21440324" name="Gerader Verbinder 21440324"/>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026846D1" id="Gerader Verbinder 21440324"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6.65pt" to="607.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" filled="t" fillcolor="#f3b000" strokecolor="#fc0" strokeweight="1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5FE0B19E"/>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BFD6173"/>
    <w:multiLevelType w:val="multilevel"/>
    <w:tmpl w:val="B4EC66BA"/>
    <w:lvl w:ilvl="0">
      <w:start w:val="1"/>
      <w:numFmt w:val="decimal"/>
      <w:pStyle w:val="LutE-LvL1-Heading"/>
      <w:lvlText w:val="%1."/>
      <w:lvlJc w:val="left"/>
      <w:pPr>
        <w:ind w:left="567" w:hanging="567"/>
      </w:pPr>
      <w:rPr>
        <w:rFonts w:hint="default"/>
      </w:rPr>
    </w:lvl>
    <w:lvl w:ilvl="1">
      <w:start w:val="1"/>
      <w:numFmt w:val="decimal"/>
      <w:pStyle w:val="LutE-LvL2-Heading"/>
      <w:lvlText w:val="%1.%2"/>
      <w:lvlJc w:val="left"/>
      <w:pPr>
        <w:ind w:left="567" w:hanging="567"/>
      </w:pPr>
      <w:rPr>
        <w:rFonts w:hint="default"/>
        <w:b w:val="0"/>
        <w:bCs/>
      </w:rPr>
    </w:lvl>
    <w:lvl w:ilvl="2">
      <w:start w:val="1"/>
      <w:numFmt w:val="decimal"/>
      <w:pStyle w:val="LutE-LvL3-Heading"/>
      <w:lvlText w:val="%1.%2.%3"/>
      <w:lvlJc w:val="left"/>
      <w:pPr>
        <w:ind w:left="1702" w:hanging="851"/>
      </w:pPr>
      <w:rPr>
        <w:b w:val="0"/>
        <w:bCs/>
      </w:rPr>
    </w:lvl>
    <w:lvl w:ilvl="3">
      <w:start w:val="1"/>
      <w:numFmt w:val="decimal"/>
      <w:pStyle w:val="LutE-LvL4-Heading"/>
      <w:lvlText w:val="%1.%2.%3.%4"/>
      <w:lvlJc w:val="left"/>
      <w:pPr>
        <w:ind w:left="1418" w:hanging="851"/>
      </w:pPr>
      <w:rPr>
        <w:rFonts w:hint="default"/>
        <w:spacing w:val="-10"/>
      </w:rPr>
    </w:lvl>
    <w:lvl w:ilvl="4">
      <w:start w:val="1"/>
      <w:numFmt w:val="decimal"/>
      <w:pStyle w:val="LutE-LvL5-Heading"/>
      <w:lvlText w:val="%1.%2.%3.%4.%5"/>
      <w:lvlJc w:val="left"/>
      <w:pPr>
        <w:ind w:left="2835" w:hanging="1417"/>
      </w:pPr>
      <w:rPr>
        <w:rFonts w:hint="default"/>
        <w:spacing w:val="-10"/>
      </w:rPr>
    </w:lvl>
    <w:lvl w:ilvl="5">
      <w:start w:val="1"/>
      <w:numFmt w:val="decimal"/>
      <w:pStyle w:val="LutE-LvL6-Heading"/>
      <w:lvlText w:val="%1.%2.%3.%4.%5.%6"/>
      <w:lvlJc w:val="left"/>
      <w:pPr>
        <w:ind w:left="2835" w:hanging="1417"/>
      </w:pPr>
      <w:rPr>
        <w:rFonts w:hint="default"/>
        <w:spacing w:val="-10"/>
      </w:rPr>
    </w:lvl>
    <w:lvl w:ilvl="6">
      <w:start w:val="1"/>
      <w:numFmt w:val="decimal"/>
      <w:pStyle w:val="LutE-LvL7-Heading"/>
      <w:lvlText w:val="%1.%2.%3.%4.%5.%6.%7"/>
      <w:lvlJc w:val="left"/>
      <w:pPr>
        <w:tabs>
          <w:tab w:val="num" w:pos="2835"/>
        </w:tabs>
        <w:ind w:left="4536" w:hanging="1701"/>
      </w:pPr>
      <w:rPr>
        <w:rFonts w:hint="default"/>
        <w:spacing w:val="-14"/>
      </w:rPr>
    </w:lvl>
    <w:lvl w:ilvl="7">
      <w:start w:val="1"/>
      <w:numFmt w:val="decimal"/>
      <w:pStyle w:val="LutE-LvL8-Heading"/>
      <w:lvlText w:val="%1.%2.%3.%4.%5.%6.%7.%8"/>
      <w:lvlJc w:val="left"/>
      <w:pPr>
        <w:ind w:left="4536" w:hanging="1701"/>
      </w:pPr>
      <w:rPr>
        <w:rFonts w:hint="default"/>
        <w:spacing w:val="-14"/>
      </w:rPr>
    </w:lvl>
    <w:lvl w:ilvl="8">
      <w:start w:val="1"/>
      <w:numFmt w:val="decimal"/>
      <w:pStyle w:val="LutE-LvL9-Heading"/>
      <w:lvlText w:val="%1.%2.%3.%4.%5.%6.%7.%8.%9"/>
      <w:lvlJc w:val="left"/>
      <w:pPr>
        <w:ind w:left="4536" w:hanging="1701"/>
      </w:pPr>
      <w:rPr>
        <w:rFonts w:hint="default"/>
        <w:spacing w:val="-14"/>
      </w:rPr>
    </w:lvl>
  </w:abstractNum>
  <w:abstractNum w:abstractNumId="10" w15:restartNumberingAfterBreak="0">
    <w:nsid w:val="220129D5"/>
    <w:multiLevelType w:val="hybridMultilevel"/>
    <w:tmpl w:val="F59C02F8"/>
    <w:lvl w:ilvl="0" w:tplc="61D6AAC6">
      <w:start w:val="1"/>
      <w:numFmt w:val="bullet"/>
      <w:lvlText w:val=""/>
      <w:lvlJc w:val="left"/>
      <w:pPr>
        <w:ind w:left="1080" w:hanging="360"/>
      </w:pPr>
      <w:rPr>
        <w:rFonts w:ascii="Symbol" w:hAnsi="Symbol"/>
      </w:rPr>
    </w:lvl>
    <w:lvl w:ilvl="1" w:tplc="0E18F35C">
      <w:start w:val="1"/>
      <w:numFmt w:val="bullet"/>
      <w:lvlText w:val=""/>
      <w:lvlJc w:val="left"/>
      <w:pPr>
        <w:ind w:left="1080" w:hanging="360"/>
      </w:pPr>
      <w:rPr>
        <w:rFonts w:ascii="Symbol" w:hAnsi="Symbol"/>
      </w:rPr>
    </w:lvl>
    <w:lvl w:ilvl="2" w:tplc="A5566C5C">
      <w:start w:val="1"/>
      <w:numFmt w:val="bullet"/>
      <w:lvlText w:val=""/>
      <w:lvlJc w:val="left"/>
      <w:pPr>
        <w:ind w:left="1080" w:hanging="360"/>
      </w:pPr>
      <w:rPr>
        <w:rFonts w:ascii="Symbol" w:hAnsi="Symbol"/>
      </w:rPr>
    </w:lvl>
    <w:lvl w:ilvl="3" w:tplc="737486EE">
      <w:start w:val="1"/>
      <w:numFmt w:val="bullet"/>
      <w:lvlText w:val=""/>
      <w:lvlJc w:val="left"/>
      <w:pPr>
        <w:ind w:left="1080" w:hanging="360"/>
      </w:pPr>
      <w:rPr>
        <w:rFonts w:ascii="Symbol" w:hAnsi="Symbol"/>
      </w:rPr>
    </w:lvl>
    <w:lvl w:ilvl="4" w:tplc="FD60E6C2">
      <w:start w:val="1"/>
      <w:numFmt w:val="bullet"/>
      <w:lvlText w:val=""/>
      <w:lvlJc w:val="left"/>
      <w:pPr>
        <w:ind w:left="1080" w:hanging="360"/>
      </w:pPr>
      <w:rPr>
        <w:rFonts w:ascii="Symbol" w:hAnsi="Symbol"/>
      </w:rPr>
    </w:lvl>
    <w:lvl w:ilvl="5" w:tplc="593AA28C">
      <w:start w:val="1"/>
      <w:numFmt w:val="bullet"/>
      <w:lvlText w:val=""/>
      <w:lvlJc w:val="left"/>
      <w:pPr>
        <w:ind w:left="1080" w:hanging="360"/>
      </w:pPr>
      <w:rPr>
        <w:rFonts w:ascii="Symbol" w:hAnsi="Symbol"/>
      </w:rPr>
    </w:lvl>
    <w:lvl w:ilvl="6" w:tplc="56F2DB5E">
      <w:start w:val="1"/>
      <w:numFmt w:val="bullet"/>
      <w:lvlText w:val=""/>
      <w:lvlJc w:val="left"/>
      <w:pPr>
        <w:ind w:left="1080" w:hanging="360"/>
      </w:pPr>
      <w:rPr>
        <w:rFonts w:ascii="Symbol" w:hAnsi="Symbol"/>
      </w:rPr>
    </w:lvl>
    <w:lvl w:ilvl="7" w:tplc="47946C04">
      <w:start w:val="1"/>
      <w:numFmt w:val="bullet"/>
      <w:lvlText w:val=""/>
      <w:lvlJc w:val="left"/>
      <w:pPr>
        <w:ind w:left="1080" w:hanging="360"/>
      </w:pPr>
      <w:rPr>
        <w:rFonts w:ascii="Symbol" w:hAnsi="Symbol"/>
      </w:rPr>
    </w:lvl>
    <w:lvl w:ilvl="8" w:tplc="554A8182">
      <w:start w:val="1"/>
      <w:numFmt w:val="bullet"/>
      <w:lvlText w:val=""/>
      <w:lvlJc w:val="left"/>
      <w:pPr>
        <w:ind w:left="1080" w:hanging="360"/>
      </w:pPr>
      <w:rPr>
        <w:rFonts w:ascii="Symbol" w:hAnsi="Symbol"/>
      </w:rPr>
    </w:lvl>
  </w:abstractNum>
  <w:abstractNum w:abstractNumId="11" w15:restartNumberingAfterBreak="0">
    <w:nsid w:val="24EA4E6E"/>
    <w:multiLevelType w:val="hybridMultilevel"/>
    <w:tmpl w:val="A1F0E0AA"/>
    <w:lvl w:ilvl="0" w:tplc="04070001">
      <w:start w:val="1"/>
      <w:numFmt w:val="bullet"/>
      <w:lvlText w:val=""/>
      <w:lvlJc w:val="left"/>
      <w:pPr>
        <w:ind w:left="1287" w:hanging="360"/>
      </w:pPr>
      <w:rPr>
        <w:rFonts w:ascii="Symbol" w:hAnsi="Symbol" w:hint="default"/>
      </w:rPr>
    </w:lvl>
    <w:lvl w:ilvl="1" w:tplc="673030CE">
      <w:numFmt w:val="bullet"/>
      <w:lvlText w:val="•"/>
      <w:lvlJc w:val="left"/>
      <w:pPr>
        <w:ind w:left="2007" w:hanging="360"/>
      </w:pPr>
      <w:rPr>
        <w:rFonts w:ascii="Arial" w:eastAsia="Arial" w:hAnsi="Arial" w:cs="Arial"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3D226F43"/>
    <w:multiLevelType w:val="hybridMultilevel"/>
    <w:tmpl w:val="985A2EB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6B496C"/>
    <w:multiLevelType w:val="multilevel"/>
    <w:tmpl w:val="D06439C0"/>
    <w:lvl w:ilvl="0">
      <w:start w:val="1"/>
      <w:numFmt w:val="upperLetter"/>
      <w:lvlText w:val="(%1)"/>
      <w:lvlJc w:val="left"/>
      <w:pPr>
        <w:ind w:left="567" w:hanging="567"/>
      </w:pPr>
      <w:rPr>
        <w:rFonts w:hint="default"/>
      </w:rPr>
    </w:lvl>
    <w:lvl w:ilvl="1">
      <w:start w:val="1"/>
      <w:numFmt w:val="decimal"/>
      <w:lvlText w:val="%2."/>
      <w:lvlJc w:val="left"/>
      <w:pPr>
        <w:ind w:left="851" w:hanging="284"/>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4" w15:restartNumberingAfterBreak="0">
    <w:nsid w:val="3FE56F2C"/>
    <w:multiLevelType w:val="hybridMultilevel"/>
    <w:tmpl w:val="ACDAA162"/>
    <w:lvl w:ilvl="0" w:tplc="F5FC62F4">
      <w:start w:val="1"/>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5" w15:restartNumberingAfterBreak="0">
    <w:nsid w:val="43AC4D85"/>
    <w:multiLevelType w:val="hybridMultilevel"/>
    <w:tmpl w:val="003416EA"/>
    <w:lvl w:ilvl="0" w:tplc="76F4DF96">
      <w:start w:val="1"/>
      <w:numFmt w:val="bullet"/>
      <w:lvlText w:val=""/>
      <w:lvlJc w:val="left"/>
      <w:pPr>
        <w:ind w:left="1287" w:hanging="578"/>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6" w15:restartNumberingAfterBreak="0">
    <w:nsid w:val="48B452DC"/>
    <w:multiLevelType w:val="hybridMultilevel"/>
    <w:tmpl w:val="E48448CA"/>
    <w:lvl w:ilvl="0" w:tplc="51F82E54">
      <w:start w:val="1"/>
      <w:numFmt w:val="bullet"/>
      <w:lvlText w:val=""/>
      <w:lvlJc w:val="left"/>
      <w:pPr>
        <w:ind w:left="1985" w:hanging="284"/>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17" w15:restartNumberingAfterBreak="0">
    <w:nsid w:val="759645A7"/>
    <w:multiLevelType w:val="hybridMultilevel"/>
    <w:tmpl w:val="BE901950"/>
    <w:lvl w:ilvl="0" w:tplc="DFD6BF48">
      <w:start w:val="1"/>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8" w15:restartNumberingAfterBreak="0">
    <w:nsid w:val="77BA708E"/>
    <w:multiLevelType w:val="hybridMultilevel"/>
    <w:tmpl w:val="8A2C29C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16cid:durableId="2023120311">
    <w:abstractNumId w:val="8"/>
  </w:num>
  <w:num w:numId="2" w16cid:durableId="643462223">
    <w:abstractNumId w:val="6"/>
  </w:num>
  <w:num w:numId="3" w16cid:durableId="2010138701">
    <w:abstractNumId w:val="5"/>
  </w:num>
  <w:num w:numId="4" w16cid:durableId="516506652">
    <w:abstractNumId w:val="4"/>
  </w:num>
  <w:num w:numId="5" w16cid:durableId="272132356">
    <w:abstractNumId w:val="7"/>
  </w:num>
  <w:num w:numId="6" w16cid:durableId="1653564639">
    <w:abstractNumId w:val="3"/>
  </w:num>
  <w:num w:numId="7" w16cid:durableId="246765684">
    <w:abstractNumId w:val="2"/>
  </w:num>
  <w:num w:numId="8" w16cid:durableId="1868833353">
    <w:abstractNumId w:val="1"/>
  </w:num>
  <w:num w:numId="9" w16cid:durableId="502354284">
    <w:abstractNumId w:val="0"/>
  </w:num>
  <w:num w:numId="10" w16cid:durableId="174735687">
    <w:abstractNumId w:val="9"/>
  </w:num>
  <w:num w:numId="11" w16cid:durableId="330136259">
    <w:abstractNumId w:val="9"/>
  </w:num>
  <w:num w:numId="12" w16cid:durableId="1313363449">
    <w:abstractNumId w:val="9"/>
  </w:num>
  <w:num w:numId="13" w16cid:durableId="1921914059">
    <w:abstractNumId w:val="9"/>
  </w:num>
  <w:num w:numId="14" w16cid:durableId="1446071857">
    <w:abstractNumId w:val="9"/>
  </w:num>
  <w:num w:numId="15" w16cid:durableId="2068070041">
    <w:abstractNumId w:val="9"/>
  </w:num>
  <w:num w:numId="16" w16cid:durableId="1123813971">
    <w:abstractNumId w:val="9"/>
  </w:num>
  <w:num w:numId="17" w16cid:durableId="1135684207">
    <w:abstractNumId w:val="9"/>
  </w:num>
  <w:num w:numId="18" w16cid:durableId="346374418">
    <w:abstractNumId w:val="9"/>
  </w:num>
  <w:num w:numId="19" w16cid:durableId="83655095">
    <w:abstractNumId w:val="9"/>
  </w:num>
  <w:num w:numId="20" w16cid:durableId="524640648">
    <w:abstractNumId w:val="9"/>
  </w:num>
  <w:num w:numId="21" w16cid:durableId="1016613435">
    <w:abstractNumId w:val="8"/>
  </w:num>
  <w:num w:numId="22" w16cid:durableId="953904092">
    <w:abstractNumId w:val="8"/>
  </w:num>
  <w:num w:numId="23" w16cid:durableId="763309758">
    <w:abstractNumId w:val="8"/>
  </w:num>
  <w:num w:numId="24" w16cid:durableId="1064252322">
    <w:abstractNumId w:val="8"/>
  </w:num>
  <w:num w:numId="25" w16cid:durableId="1820730141">
    <w:abstractNumId w:val="12"/>
  </w:num>
  <w:num w:numId="26" w16cid:durableId="1429232726">
    <w:abstractNumId w:val="9"/>
  </w:num>
  <w:num w:numId="27" w16cid:durableId="1069960391">
    <w:abstractNumId w:val="9"/>
  </w:num>
  <w:num w:numId="28" w16cid:durableId="1209730401">
    <w:abstractNumId w:val="18"/>
  </w:num>
  <w:num w:numId="29" w16cid:durableId="421727571">
    <w:abstractNumId w:val="8"/>
  </w:num>
  <w:num w:numId="30" w16cid:durableId="1531720201">
    <w:abstractNumId w:val="8"/>
  </w:num>
  <w:num w:numId="31" w16cid:durableId="1868173717">
    <w:abstractNumId w:val="11"/>
  </w:num>
  <w:num w:numId="32" w16cid:durableId="437677432">
    <w:abstractNumId w:val="9"/>
  </w:num>
  <w:num w:numId="33" w16cid:durableId="1070037903">
    <w:abstractNumId w:val="9"/>
  </w:num>
  <w:num w:numId="34" w16cid:durableId="919369277">
    <w:abstractNumId w:val="9"/>
  </w:num>
  <w:num w:numId="35" w16cid:durableId="1828595791">
    <w:abstractNumId w:val="9"/>
  </w:num>
  <w:num w:numId="36" w16cid:durableId="1298142986">
    <w:abstractNumId w:val="9"/>
  </w:num>
  <w:num w:numId="37" w16cid:durableId="1502088046">
    <w:abstractNumId w:val="9"/>
  </w:num>
  <w:num w:numId="38" w16cid:durableId="344019657">
    <w:abstractNumId w:val="9"/>
  </w:num>
  <w:num w:numId="39" w16cid:durableId="1805661855">
    <w:abstractNumId w:val="15"/>
  </w:num>
  <w:num w:numId="40" w16cid:durableId="1129786860">
    <w:abstractNumId w:val="9"/>
  </w:num>
  <w:num w:numId="41" w16cid:durableId="1604069092">
    <w:abstractNumId w:val="16"/>
  </w:num>
  <w:num w:numId="42" w16cid:durableId="1394817836">
    <w:abstractNumId w:val="8"/>
  </w:num>
  <w:num w:numId="43" w16cid:durableId="1695154705">
    <w:abstractNumId w:val="9"/>
  </w:num>
  <w:num w:numId="44" w16cid:durableId="1032922364">
    <w:abstractNumId w:val="9"/>
  </w:num>
  <w:num w:numId="45" w16cid:durableId="431323233">
    <w:abstractNumId w:val="8"/>
  </w:num>
  <w:num w:numId="46" w16cid:durableId="2047364594">
    <w:abstractNumId w:val="17"/>
  </w:num>
  <w:num w:numId="47" w16cid:durableId="1782802268">
    <w:abstractNumId w:val="10"/>
  </w:num>
  <w:num w:numId="48" w16cid:durableId="1375154098">
    <w:abstractNumId w:val="14"/>
  </w:num>
  <w:num w:numId="49" w16cid:durableId="750586296">
    <w:abstractNumId w:val="9"/>
  </w:num>
  <w:num w:numId="50" w16cid:durableId="100418592">
    <w:abstractNumId w:val="9"/>
  </w:num>
  <w:num w:numId="51" w16cid:durableId="51777798">
    <w:abstractNumId w:val="13"/>
  </w:num>
  <w:num w:numId="52" w16cid:durableId="2013794132">
    <w:abstractNumId w:val="8"/>
  </w:num>
  <w:num w:numId="53" w16cid:durableId="401175096">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075"/>
    <w:rsid w:val="000048CB"/>
    <w:rsid w:val="00004D2D"/>
    <w:rsid w:val="00006C8D"/>
    <w:rsid w:val="000105D4"/>
    <w:rsid w:val="00013A4F"/>
    <w:rsid w:val="00016CCE"/>
    <w:rsid w:val="00020761"/>
    <w:rsid w:val="000225E9"/>
    <w:rsid w:val="0002337F"/>
    <w:rsid w:val="00025CE0"/>
    <w:rsid w:val="00026706"/>
    <w:rsid w:val="00032470"/>
    <w:rsid w:val="00034616"/>
    <w:rsid w:val="00036005"/>
    <w:rsid w:val="00036170"/>
    <w:rsid w:val="000579BC"/>
    <w:rsid w:val="000604DD"/>
    <w:rsid w:val="0006063C"/>
    <w:rsid w:val="00061458"/>
    <w:rsid w:val="000646FD"/>
    <w:rsid w:val="0007322F"/>
    <w:rsid w:val="00080D3E"/>
    <w:rsid w:val="00080DC6"/>
    <w:rsid w:val="00083042"/>
    <w:rsid w:val="000918B8"/>
    <w:rsid w:val="00091A89"/>
    <w:rsid w:val="000A4EC6"/>
    <w:rsid w:val="000A52F8"/>
    <w:rsid w:val="000B0330"/>
    <w:rsid w:val="000B039E"/>
    <w:rsid w:val="000B102B"/>
    <w:rsid w:val="000B3646"/>
    <w:rsid w:val="000B5B0A"/>
    <w:rsid w:val="000B7355"/>
    <w:rsid w:val="000C5633"/>
    <w:rsid w:val="000D1426"/>
    <w:rsid w:val="000D33B5"/>
    <w:rsid w:val="000E0AD9"/>
    <w:rsid w:val="000E1346"/>
    <w:rsid w:val="000E5291"/>
    <w:rsid w:val="000F2D29"/>
    <w:rsid w:val="000F3538"/>
    <w:rsid w:val="00102EF4"/>
    <w:rsid w:val="00104C83"/>
    <w:rsid w:val="00104EA5"/>
    <w:rsid w:val="0011640B"/>
    <w:rsid w:val="0012766C"/>
    <w:rsid w:val="00133DBD"/>
    <w:rsid w:val="00137900"/>
    <w:rsid w:val="001405CC"/>
    <w:rsid w:val="00143F2E"/>
    <w:rsid w:val="00150672"/>
    <w:rsid w:val="0015074B"/>
    <w:rsid w:val="00154DCA"/>
    <w:rsid w:val="001564FF"/>
    <w:rsid w:val="00156BA7"/>
    <w:rsid w:val="00164B79"/>
    <w:rsid w:val="00165C88"/>
    <w:rsid w:val="00167710"/>
    <w:rsid w:val="001745EA"/>
    <w:rsid w:val="00177D77"/>
    <w:rsid w:val="00182703"/>
    <w:rsid w:val="00182BBF"/>
    <w:rsid w:val="0018536D"/>
    <w:rsid w:val="00186A35"/>
    <w:rsid w:val="001878E3"/>
    <w:rsid w:val="00187CA6"/>
    <w:rsid w:val="00191225"/>
    <w:rsid w:val="00191F0C"/>
    <w:rsid w:val="0019693B"/>
    <w:rsid w:val="001A0621"/>
    <w:rsid w:val="001A4152"/>
    <w:rsid w:val="001A6833"/>
    <w:rsid w:val="001A6F42"/>
    <w:rsid w:val="001B0DC3"/>
    <w:rsid w:val="001B104E"/>
    <w:rsid w:val="001B47D5"/>
    <w:rsid w:val="001B528C"/>
    <w:rsid w:val="001B7215"/>
    <w:rsid w:val="001C0F7D"/>
    <w:rsid w:val="001C10D5"/>
    <w:rsid w:val="001C4937"/>
    <w:rsid w:val="001D048B"/>
    <w:rsid w:val="001D4673"/>
    <w:rsid w:val="001D748A"/>
    <w:rsid w:val="001E4ACA"/>
    <w:rsid w:val="001E5581"/>
    <w:rsid w:val="001E756C"/>
    <w:rsid w:val="001F3A07"/>
    <w:rsid w:val="001F4A74"/>
    <w:rsid w:val="00205A35"/>
    <w:rsid w:val="00205CFE"/>
    <w:rsid w:val="0020748C"/>
    <w:rsid w:val="00237DA1"/>
    <w:rsid w:val="00240258"/>
    <w:rsid w:val="00242B2D"/>
    <w:rsid w:val="00242DAD"/>
    <w:rsid w:val="00243E27"/>
    <w:rsid w:val="00252D7F"/>
    <w:rsid w:val="00256A05"/>
    <w:rsid w:val="00262D3E"/>
    <w:rsid w:val="00263E03"/>
    <w:rsid w:val="002734CB"/>
    <w:rsid w:val="00281087"/>
    <w:rsid w:val="00282A5E"/>
    <w:rsid w:val="00286777"/>
    <w:rsid w:val="00290CA6"/>
    <w:rsid w:val="002919D0"/>
    <w:rsid w:val="002924E8"/>
    <w:rsid w:val="0029639D"/>
    <w:rsid w:val="002A1CEF"/>
    <w:rsid w:val="002B23AD"/>
    <w:rsid w:val="002B5C90"/>
    <w:rsid w:val="002B68ED"/>
    <w:rsid w:val="002C050A"/>
    <w:rsid w:val="002C0988"/>
    <w:rsid w:val="002C3055"/>
    <w:rsid w:val="002C3831"/>
    <w:rsid w:val="002C38C1"/>
    <w:rsid w:val="002C3C64"/>
    <w:rsid w:val="002C611D"/>
    <w:rsid w:val="002D021F"/>
    <w:rsid w:val="002D208E"/>
    <w:rsid w:val="002D5489"/>
    <w:rsid w:val="002D73D1"/>
    <w:rsid w:val="002D767B"/>
    <w:rsid w:val="002E252E"/>
    <w:rsid w:val="002E2F2F"/>
    <w:rsid w:val="002E4378"/>
    <w:rsid w:val="002E537E"/>
    <w:rsid w:val="002E6257"/>
    <w:rsid w:val="002F2476"/>
    <w:rsid w:val="002F28CA"/>
    <w:rsid w:val="002F44FE"/>
    <w:rsid w:val="002F52BC"/>
    <w:rsid w:val="002F6B10"/>
    <w:rsid w:val="00300D87"/>
    <w:rsid w:val="00301B49"/>
    <w:rsid w:val="003063E1"/>
    <w:rsid w:val="003146D9"/>
    <w:rsid w:val="00321AE8"/>
    <w:rsid w:val="00321BD0"/>
    <w:rsid w:val="00322098"/>
    <w:rsid w:val="003228A4"/>
    <w:rsid w:val="003236E1"/>
    <w:rsid w:val="00325068"/>
    <w:rsid w:val="00326F90"/>
    <w:rsid w:val="0033156F"/>
    <w:rsid w:val="00333D20"/>
    <w:rsid w:val="0033486A"/>
    <w:rsid w:val="003427CE"/>
    <w:rsid w:val="003524B7"/>
    <w:rsid w:val="00355D21"/>
    <w:rsid w:val="00357009"/>
    <w:rsid w:val="00365B56"/>
    <w:rsid w:val="00372EA5"/>
    <w:rsid w:val="00375093"/>
    <w:rsid w:val="00380294"/>
    <w:rsid w:val="0038701E"/>
    <w:rsid w:val="003916B3"/>
    <w:rsid w:val="0039662A"/>
    <w:rsid w:val="003969C3"/>
    <w:rsid w:val="003A60F1"/>
    <w:rsid w:val="003A63FB"/>
    <w:rsid w:val="003B2562"/>
    <w:rsid w:val="003C707A"/>
    <w:rsid w:val="003D4A52"/>
    <w:rsid w:val="003D52A9"/>
    <w:rsid w:val="003D6994"/>
    <w:rsid w:val="003F084C"/>
    <w:rsid w:val="003F0D75"/>
    <w:rsid w:val="003F2B34"/>
    <w:rsid w:val="003F3083"/>
    <w:rsid w:val="003F3E0A"/>
    <w:rsid w:val="003F4063"/>
    <w:rsid w:val="003F5EBF"/>
    <w:rsid w:val="003F77AF"/>
    <w:rsid w:val="00402837"/>
    <w:rsid w:val="00403D6F"/>
    <w:rsid w:val="00406D2C"/>
    <w:rsid w:val="00412936"/>
    <w:rsid w:val="00413501"/>
    <w:rsid w:val="00413784"/>
    <w:rsid w:val="00414312"/>
    <w:rsid w:val="00414585"/>
    <w:rsid w:val="00416D8C"/>
    <w:rsid w:val="00420C3C"/>
    <w:rsid w:val="00423249"/>
    <w:rsid w:val="00433CA8"/>
    <w:rsid w:val="004358AD"/>
    <w:rsid w:val="00435AA4"/>
    <w:rsid w:val="004435D0"/>
    <w:rsid w:val="00443832"/>
    <w:rsid w:val="004442A9"/>
    <w:rsid w:val="00447CED"/>
    <w:rsid w:val="00450BF6"/>
    <w:rsid w:val="00453F1E"/>
    <w:rsid w:val="00454946"/>
    <w:rsid w:val="00455C94"/>
    <w:rsid w:val="004572B7"/>
    <w:rsid w:val="00460E79"/>
    <w:rsid w:val="00460EDE"/>
    <w:rsid w:val="00463BB5"/>
    <w:rsid w:val="004663CE"/>
    <w:rsid w:val="00470BBD"/>
    <w:rsid w:val="00472F7B"/>
    <w:rsid w:val="00475641"/>
    <w:rsid w:val="00476903"/>
    <w:rsid w:val="00484639"/>
    <w:rsid w:val="00485D36"/>
    <w:rsid w:val="004871C7"/>
    <w:rsid w:val="0049483F"/>
    <w:rsid w:val="004A1449"/>
    <w:rsid w:val="004A7844"/>
    <w:rsid w:val="004B04C3"/>
    <w:rsid w:val="004B3178"/>
    <w:rsid w:val="004B3B7F"/>
    <w:rsid w:val="004C1176"/>
    <w:rsid w:val="004C2A43"/>
    <w:rsid w:val="004C35F6"/>
    <w:rsid w:val="004C4406"/>
    <w:rsid w:val="004C4D54"/>
    <w:rsid w:val="004E5C3B"/>
    <w:rsid w:val="004F06AF"/>
    <w:rsid w:val="004F221B"/>
    <w:rsid w:val="004F5173"/>
    <w:rsid w:val="00501674"/>
    <w:rsid w:val="005020DA"/>
    <w:rsid w:val="00502737"/>
    <w:rsid w:val="005046F7"/>
    <w:rsid w:val="00505863"/>
    <w:rsid w:val="00505E95"/>
    <w:rsid w:val="00506291"/>
    <w:rsid w:val="0051032C"/>
    <w:rsid w:val="005155AE"/>
    <w:rsid w:val="00520FE3"/>
    <w:rsid w:val="00521922"/>
    <w:rsid w:val="00522018"/>
    <w:rsid w:val="00523D94"/>
    <w:rsid w:val="005266E2"/>
    <w:rsid w:val="00526EEA"/>
    <w:rsid w:val="005277B7"/>
    <w:rsid w:val="00527CE2"/>
    <w:rsid w:val="00532AD4"/>
    <w:rsid w:val="00533159"/>
    <w:rsid w:val="00533194"/>
    <w:rsid w:val="00542426"/>
    <w:rsid w:val="005430F5"/>
    <w:rsid w:val="00543E47"/>
    <w:rsid w:val="00544472"/>
    <w:rsid w:val="00551A8C"/>
    <w:rsid w:val="005576CB"/>
    <w:rsid w:val="00562167"/>
    <w:rsid w:val="00577215"/>
    <w:rsid w:val="00577A87"/>
    <w:rsid w:val="00582102"/>
    <w:rsid w:val="00584ACE"/>
    <w:rsid w:val="00590919"/>
    <w:rsid w:val="005917AE"/>
    <w:rsid w:val="005919AA"/>
    <w:rsid w:val="005B136C"/>
    <w:rsid w:val="005B2B63"/>
    <w:rsid w:val="005B6B69"/>
    <w:rsid w:val="005C1B21"/>
    <w:rsid w:val="005C4FC8"/>
    <w:rsid w:val="005C64CB"/>
    <w:rsid w:val="005D7B63"/>
    <w:rsid w:val="005E0B92"/>
    <w:rsid w:val="005E11D7"/>
    <w:rsid w:val="005E3E67"/>
    <w:rsid w:val="005E74AE"/>
    <w:rsid w:val="005E7F53"/>
    <w:rsid w:val="005F166E"/>
    <w:rsid w:val="005F22B5"/>
    <w:rsid w:val="006005F1"/>
    <w:rsid w:val="00612936"/>
    <w:rsid w:val="00613F0B"/>
    <w:rsid w:val="006146DD"/>
    <w:rsid w:val="00623840"/>
    <w:rsid w:val="0063326E"/>
    <w:rsid w:val="00634619"/>
    <w:rsid w:val="00641300"/>
    <w:rsid w:val="006421FB"/>
    <w:rsid w:val="006422AE"/>
    <w:rsid w:val="0064312F"/>
    <w:rsid w:val="00645AFA"/>
    <w:rsid w:val="00645FEF"/>
    <w:rsid w:val="00651083"/>
    <w:rsid w:val="0065331B"/>
    <w:rsid w:val="0065572F"/>
    <w:rsid w:val="0066173C"/>
    <w:rsid w:val="00667DFE"/>
    <w:rsid w:val="00675B2D"/>
    <w:rsid w:val="006819C4"/>
    <w:rsid w:val="0068590B"/>
    <w:rsid w:val="00692F5D"/>
    <w:rsid w:val="006A3965"/>
    <w:rsid w:val="006A5AE2"/>
    <w:rsid w:val="006A73F8"/>
    <w:rsid w:val="006A7CF4"/>
    <w:rsid w:val="006B309E"/>
    <w:rsid w:val="006B4F31"/>
    <w:rsid w:val="006B5483"/>
    <w:rsid w:val="006B5F1B"/>
    <w:rsid w:val="006C1D51"/>
    <w:rsid w:val="006C41F8"/>
    <w:rsid w:val="006D3C0D"/>
    <w:rsid w:val="006D67D6"/>
    <w:rsid w:val="006E18C0"/>
    <w:rsid w:val="006E2A7A"/>
    <w:rsid w:val="006E2FB9"/>
    <w:rsid w:val="006E44E8"/>
    <w:rsid w:val="006F261F"/>
    <w:rsid w:val="007058A1"/>
    <w:rsid w:val="00711338"/>
    <w:rsid w:val="0071148E"/>
    <w:rsid w:val="00722D18"/>
    <w:rsid w:val="0072300B"/>
    <w:rsid w:val="0072771C"/>
    <w:rsid w:val="007302A9"/>
    <w:rsid w:val="00731F19"/>
    <w:rsid w:val="00731F3A"/>
    <w:rsid w:val="00732459"/>
    <w:rsid w:val="00732B12"/>
    <w:rsid w:val="00740DEC"/>
    <w:rsid w:val="00744C30"/>
    <w:rsid w:val="00747D86"/>
    <w:rsid w:val="00750497"/>
    <w:rsid w:val="0075406E"/>
    <w:rsid w:val="007579D2"/>
    <w:rsid w:val="0076244E"/>
    <w:rsid w:val="0076468F"/>
    <w:rsid w:val="0077453C"/>
    <w:rsid w:val="007834DE"/>
    <w:rsid w:val="0079076A"/>
    <w:rsid w:val="007976C1"/>
    <w:rsid w:val="007A4CB1"/>
    <w:rsid w:val="007A6BC0"/>
    <w:rsid w:val="007B320A"/>
    <w:rsid w:val="007B68A0"/>
    <w:rsid w:val="007C1EC2"/>
    <w:rsid w:val="007D0618"/>
    <w:rsid w:val="007D08D7"/>
    <w:rsid w:val="007D38D4"/>
    <w:rsid w:val="007D4B9C"/>
    <w:rsid w:val="007D6F1A"/>
    <w:rsid w:val="007D7907"/>
    <w:rsid w:val="007E2A0D"/>
    <w:rsid w:val="007E2FD7"/>
    <w:rsid w:val="007E426D"/>
    <w:rsid w:val="007E5767"/>
    <w:rsid w:val="007E73EC"/>
    <w:rsid w:val="007E78F7"/>
    <w:rsid w:val="007F086C"/>
    <w:rsid w:val="007F46DE"/>
    <w:rsid w:val="007F5470"/>
    <w:rsid w:val="00802678"/>
    <w:rsid w:val="0080663C"/>
    <w:rsid w:val="00810570"/>
    <w:rsid w:val="00816DAC"/>
    <w:rsid w:val="00821510"/>
    <w:rsid w:val="008272B5"/>
    <w:rsid w:val="00837A18"/>
    <w:rsid w:val="008445C2"/>
    <w:rsid w:val="00846FBE"/>
    <w:rsid w:val="0085238E"/>
    <w:rsid w:val="00854F10"/>
    <w:rsid w:val="0085780D"/>
    <w:rsid w:val="00860311"/>
    <w:rsid w:val="0087228C"/>
    <w:rsid w:val="0087301D"/>
    <w:rsid w:val="008771E3"/>
    <w:rsid w:val="00887EB5"/>
    <w:rsid w:val="00891E05"/>
    <w:rsid w:val="00895767"/>
    <w:rsid w:val="008962A7"/>
    <w:rsid w:val="00896EB1"/>
    <w:rsid w:val="0089764A"/>
    <w:rsid w:val="008A1B5C"/>
    <w:rsid w:val="008A271D"/>
    <w:rsid w:val="008A2831"/>
    <w:rsid w:val="008A75FC"/>
    <w:rsid w:val="008B2F78"/>
    <w:rsid w:val="008B38A3"/>
    <w:rsid w:val="008B3AB3"/>
    <w:rsid w:val="008B51A7"/>
    <w:rsid w:val="008C5F65"/>
    <w:rsid w:val="008D7F55"/>
    <w:rsid w:val="008E0575"/>
    <w:rsid w:val="008E2D0E"/>
    <w:rsid w:val="008E2E1F"/>
    <w:rsid w:val="008E2F2F"/>
    <w:rsid w:val="008F3352"/>
    <w:rsid w:val="008F4469"/>
    <w:rsid w:val="008F581C"/>
    <w:rsid w:val="00904C86"/>
    <w:rsid w:val="00907E68"/>
    <w:rsid w:val="0091366B"/>
    <w:rsid w:val="00927634"/>
    <w:rsid w:val="00933001"/>
    <w:rsid w:val="00934AB0"/>
    <w:rsid w:val="009536CA"/>
    <w:rsid w:val="0095617B"/>
    <w:rsid w:val="0095705E"/>
    <w:rsid w:val="009619A8"/>
    <w:rsid w:val="00961C92"/>
    <w:rsid w:val="0096655C"/>
    <w:rsid w:val="0097414A"/>
    <w:rsid w:val="009742A3"/>
    <w:rsid w:val="009809F3"/>
    <w:rsid w:val="00980F33"/>
    <w:rsid w:val="00981273"/>
    <w:rsid w:val="00985B90"/>
    <w:rsid w:val="00987E30"/>
    <w:rsid w:val="00990108"/>
    <w:rsid w:val="009937F3"/>
    <w:rsid w:val="009A0633"/>
    <w:rsid w:val="009A3E3F"/>
    <w:rsid w:val="009A4D5E"/>
    <w:rsid w:val="009A58FD"/>
    <w:rsid w:val="009B3F5E"/>
    <w:rsid w:val="009B7622"/>
    <w:rsid w:val="009B7C2A"/>
    <w:rsid w:val="009C2506"/>
    <w:rsid w:val="009D0733"/>
    <w:rsid w:val="009D1E8D"/>
    <w:rsid w:val="009D3144"/>
    <w:rsid w:val="009D3644"/>
    <w:rsid w:val="009D724D"/>
    <w:rsid w:val="009F327A"/>
    <w:rsid w:val="00A03BA5"/>
    <w:rsid w:val="00A05C70"/>
    <w:rsid w:val="00A0646F"/>
    <w:rsid w:val="00A06500"/>
    <w:rsid w:val="00A101E0"/>
    <w:rsid w:val="00A14B6F"/>
    <w:rsid w:val="00A16FF2"/>
    <w:rsid w:val="00A179EE"/>
    <w:rsid w:val="00A34A1E"/>
    <w:rsid w:val="00A41C8A"/>
    <w:rsid w:val="00A41D9D"/>
    <w:rsid w:val="00A41DCF"/>
    <w:rsid w:val="00A436E1"/>
    <w:rsid w:val="00A44845"/>
    <w:rsid w:val="00A5072B"/>
    <w:rsid w:val="00A51C88"/>
    <w:rsid w:val="00A55692"/>
    <w:rsid w:val="00A56B32"/>
    <w:rsid w:val="00A56D07"/>
    <w:rsid w:val="00A6014A"/>
    <w:rsid w:val="00A776AB"/>
    <w:rsid w:val="00A8154D"/>
    <w:rsid w:val="00A820C3"/>
    <w:rsid w:val="00A91D1E"/>
    <w:rsid w:val="00A97D54"/>
    <w:rsid w:val="00AA1D8B"/>
    <w:rsid w:val="00AA1D8D"/>
    <w:rsid w:val="00AA5AF8"/>
    <w:rsid w:val="00AA7213"/>
    <w:rsid w:val="00AB4C3E"/>
    <w:rsid w:val="00AC017E"/>
    <w:rsid w:val="00AC03FA"/>
    <w:rsid w:val="00AC35F6"/>
    <w:rsid w:val="00AC450F"/>
    <w:rsid w:val="00AC5BF2"/>
    <w:rsid w:val="00AC7020"/>
    <w:rsid w:val="00AD3AED"/>
    <w:rsid w:val="00AE04D4"/>
    <w:rsid w:val="00AE4B09"/>
    <w:rsid w:val="00AE6AB4"/>
    <w:rsid w:val="00AF5821"/>
    <w:rsid w:val="00AF6E6D"/>
    <w:rsid w:val="00AF7794"/>
    <w:rsid w:val="00B02203"/>
    <w:rsid w:val="00B02485"/>
    <w:rsid w:val="00B1180D"/>
    <w:rsid w:val="00B142D1"/>
    <w:rsid w:val="00B17B2A"/>
    <w:rsid w:val="00B2192B"/>
    <w:rsid w:val="00B23BC7"/>
    <w:rsid w:val="00B23C39"/>
    <w:rsid w:val="00B244C4"/>
    <w:rsid w:val="00B24651"/>
    <w:rsid w:val="00B32156"/>
    <w:rsid w:val="00B40F9C"/>
    <w:rsid w:val="00B47730"/>
    <w:rsid w:val="00B50C00"/>
    <w:rsid w:val="00B52372"/>
    <w:rsid w:val="00B52412"/>
    <w:rsid w:val="00B54B18"/>
    <w:rsid w:val="00B54DAE"/>
    <w:rsid w:val="00B563AC"/>
    <w:rsid w:val="00B63E2D"/>
    <w:rsid w:val="00B73E09"/>
    <w:rsid w:val="00B82CFF"/>
    <w:rsid w:val="00B83412"/>
    <w:rsid w:val="00B84764"/>
    <w:rsid w:val="00B90D81"/>
    <w:rsid w:val="00BA2104"/>
    <w:rsid w:val="00BA3AA2"/>
    <w:rsid w:val="00BB062D"/>
    <w:rsid w:val="00BB24A3"/>
    <w:rsid w:val="00BC3668"/>
    <w:rsid w:val="00BD64E6"/>
    <w:rsid w:val="00BD6AC3"/>
    <w:rsid w:val="00BD7BCC"/>
    <w:rsid w:val="00BE0209"/>
    <w:rsid w:val="00BE05BD"/>
    <w:rsid w:val="00BE2084"/>
    <w:rsid w:val="00BE434D"/>
    <w:rsid w:val="00BF26F9"/>
    <w:rsid w:val="00BF3D94"/>
    <w:rsid w:val="00BF5D12"/>
    <w:rsid w:val="00BF78E5"/>
    <w:rsid w:val="00C04B5B"/>
    <w:rsid w:val="00C05F46"/>
    <w:rsid w:val="00C135B6"/>
    <w:rsid w:val="00C17101"/>
    <w:rsid w:val="00C20449"/>
    <w:rsid w:val="00C27115"/>
    <w:rsid w:val="00C30DB6"/>
    <w:rsid w:val="00C3235C"/>
    <w:rsid w:val="00C459C2"/>
    <w:rsid w:val="00C464F8"/>
    <w:rsid w:val="00C472FC"/>
    <w:rsid w:val="00C530A1"/>
    <w:rsid w:val="00C5369F"/>
    <w:rsid w:val="00C54074"/>
    <w:rsid w:val="00C551BD"/>
    <w:rsid w:val="00C55F4E"/>
    <w:rsid w:val="00C57D8B"/>
    <w:rsid w:val="00C623CB"/>
    <w:rsid w:val="00C65E40"/>
    <w:rsid w:val="00C66ED3"/>
    <w:rsid w:val="00C70D45"/>
    <w:rsid w:val="00C7347D"/>
    <w:rsid w:val="00C74E59"/>
    <w:rsid w:val="00C7518F"/>
    <w:rsid w:val="00C817D3"/>
    <w:rsid w:val="00C82288"/>
    <w:rsid w:val="00C8320F"/>
    <w:rsid w:val="00C85FFA"/>
    <w:rsid w:val="00C87798"/>
    <w:rsid w:val="00C924DE"/>
    <w:rsid w:val="00C94C13"/>
    <w:rsid w:val="00C96888"/>
    <w:rsid w:val="00CA2BD5"/>
    <w:rsid w:val="00CA3936"/>
    <w:rsid w:val="00CA44D1"/>
    <w:rsid w:val="00CA74EA"/>
    <w:rsid w:val="00CB0664"/>
    <w:rsid w:val="00CB4160"/>
    <w:rsid w:val="00CB596B"/>
    <w:rsid w:val="00CB7ADA"/>
    <w:rsid w:val="00CC4328"/>
    <w:rsid w:val="00CC4BDD"/>
    <w:rsid w:val="00CC557A"/>
    <w:rsid w:val="00CD24A6"/>
    <w:rsid w:val="00CD5F6B"/>
    <w:rsid w:val="00CD6705"/>
    <w:rsid w:val="00CD7243"/>
    <w:rsid w:val="00CF2C0F"/>
    <w:rsid w:val="00CF355E"/>
    <w:rsid w:val="00CF6A4B"/>
    <w:rsid w:val="00D0026B"/>
    <w:rsid w:val="00D051FC"/>
    <w:rsid w:val="00D11B2D"/>
    <w:rsid w:val="00D12263"/>
    <w:rsid w:val="00D2236B"/>
    <w:rsid w:val="00D5362A"/>
    <w:rsid w:val="00D613EE"/>
    <w:rsid w:val="00D61A7D"/>
    <w:rsid w:val="00D62D7C"/>
    <w:rsid w:val="00D65310"/>
    <w:rsid w:val="00D67A6F"/>
    <w:rsid w:val="00D73FCD"/>
    <w:rsid w:val="00D7539D"/>
    <w:rsid w:val="00D764FA"/>
    <w:rsid w:val="00D76DDF"/>
    <w:rsid w:val="00D84CB4"/>
    <w:rsid w:val="00DA68CC"/>
    <w:rsid w:val="00DA69EE"/>
    <w:rsid w:val="00DB0406"/>
    <w:rsid w:val="00DB06F9"/>
    <w:rsid w:val="00DB221C"/>
    <w:rsid w:val="00DC13DC"/>
    <w:rsid w:val="00DC60FF"/>
    <w:rsid w:val="00DC77EF"/>
    <w:rsid w:val="00DD5513"/>
    <w:rsid w:val="00DE04A4"/>
    <w:rsid w:val="00DE448C"/>
    <w:rsid w:val="00DE6C50"/>
    <w:rsid w:val="00DF41BA"/>
    <w:rsid w:val="00DF4935"/>
    <w:rsid w:val="00DF58FE"/>
    <w:rsid w:val="00E01A5C"/>
    <w:rsid w:val="00E0349D"/>
    <w:rsid w:val="00E0458D"/>
    <w:rsid w:val="00E06C31"/>
    <w:rsid w:val="00E12B8B"/>
    <w:rsid w:val="00E16D35"/>
    <w:rsid w:val="00E2579D"/>
    <w:rsid w:val="00E32597"/>
    <w:rsid w:val="00E33815"/>
    <w:rsid w:val="00E36EDE"/>
    <w:rsid w:val="00E37A13"/>
    <w:rsid w:val="00E438BF"/>
    <w:rsid w:val="00E502E4"/>
    <w:rsid w:val="00E50437"/>
    <w:rsid w:val="00E5196A"/>
    <w:rsid w:val="00E52D4B"/>
    <w:rsid w:val="00E5397F"/>
    <w:rsid w:val="00E53B07"/>
    <w:rsid w:val="00E61E1D"/>
    <w:rsid w:val="00E6243F"/>
    <w:rsid w:val="00E62821"/>
    <w:rsid w:val="00E62F6F"/>
    <w:rsid w:val="00E64F61"/>
    <w:rsid w:val="00E70076"/>
    <w:rsid w:val="00E70516"/>
    <w:rsid w:val="00E70D3C"/>
    <w:rsid w:val="00E711B6"/>
    <w:rsid w:val="00E718BD"/>
    <w:rsid w:val="00E729F3"/>
    <w:rsid w:val="00E743D1"/>
    <w:rsid w:val="00E850E5"/>
    <w:rsid w:val="00E916AB"/>
    <w:rsid w:val="00E92391"/>
    <w:rsid w:val="00E96C90"/>
    <w:rsid w:val="00EA2C4F"/>
    <w:rsid w:val="00EA67D1"/>
    <w:rsid w:val="00EA6956"/>
    <w:rsid w:val="00EB497D"/>
    <w:rsid w:val="00EB5978"/>
    <w:rsid w:val="00EB6051"/>
    <w:rsid w:val="00EC06F7"/>
    <w:rsid w:val="00EC6B5C"/>
    <w:rsid w:val="00EC6F99"/>
    <w:rsid w:val="00EC721D"/>
    <w:rsid w:val="00EC72F5"/>
    <w:rsid w:val="00ED076A"/>
    <w:rsid w:val="00ED0F46"/>
    <w:rsid w:val="00ED1311"/>
    <w:rsid w:val="00EE0224"/>
    <w:rsid w:val="00EE2AE2"/>
    <w:rsid w:val="00EE7E39"/>
    <w:rsid w:val="00EF2400"/>
    <w:rsid w:val="00EF27BE"/>
    <w:rsid w:val="00EF2E3B"/>
    <w:rsid w:val="00EF75B2"/>
    <w:rsid w:val="00F00BED"/>
    <w:rsid w:val="00F05086"/>
    <w:rsid w:val="00F103BD"/>
    <w:rsid w:val="00F10EAF"/>
    <w:rsid w:val="00F32AE7"/>
    <w:rsid w:val="00F37701"/>
    <w:rsid w:val="00F47B97"/>
    <w:rsid w:val="00F502A0"/>
    <w:rsid w:val="00F55FBE"/>
    <w:rsid w:val="00F5614C"/>
    <w:rsid w:val="00F606BD"/>
    <w:rsid w:val="00F6241F"/>
    <w:rsid w:val="00F63221"/>
    <w:rsid w:val="00F66ECE"/>
    <w:rsid w:val="00F77120"/>
    <w:rsid w:val="00F8069C"/>
    <w:rsid w:val="00F8777D"/>
    <w:rsid w:val="00F95A98"/>
    <w:rsid w:val="00FA5AF9"/>
    <w:rsid w:val="00FA5BA3"/>
    <w:rsid w:val="00FB2EE1"/>
    <w:rsid w:val="00FB35BD"/>
    <w:rsid w:val="00FC044D"/>
    <w:rsid w:val="00FC59C0"/>
    <w:rsid w:val="00FC693F"/>
    <w:rsid w:val="00FD0218"/>
    <w:rsid w:val="00FD28E7"/>
    <w:rsid w:val="00FD4CB9"/>
    <w:rsid w:val="00FD650A"/>
    <w:rsid w:val="00FD6700"/>
    <w:rsid w:val="00FD6D3C"/>
    <w:rsid w:val="00FE2E43"/>
    <w:rsid w:val="00FE3118"/>
    <w:rsid w:val="00FE34FD"/>
    <w:rsid w:val="00FE5084"/>
    <w:rsid w:val="00FF4A14"/>
    <w:rsid w:val="00FF52CA"/>
    <w:rsid w:val="00FF758F"/>
    <w:rsid w:val="0F2AD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FF7506"/>
  <w14:defaultImageDpi w14:val="300"/>
  <w15:docId w15:val="{90207B91-C20B-4AB0-8F90-BE5EA387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35"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35"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44E8"/>
    <w:pPr>
      <w:spacing w:after="120" w:line="259" w:lineRule="auto"/>
    </w:pPr>
    <w:rPr>
      <w:rFonts w:ascii="Arial" w:eastAsia="Arial" w:hAnsi="Arial"/>
      <w:sz w:val="21"/>
    </w:rPr>
  </w:style>
  <w:style w:type="paragraph" w:styleId="berschrift1">
    <w:name w:val="heading 1"/>
    <w:basedOn w:val="Standard"/>
    <w:next w:val="Standard"/>
    <w:link w:val="berschrift1Zchn"/>
    <w:uiPriority w:val="9"/>
    <w:qFormat/>
    <w:rsid w:val="00FC693F"/>
    <w:pPr>
      <w:keepNext/>
      <w:keepLines/>
      <w:spacing w:before="240"/>
      <w:outlineLvl w:val="0"/>
    </w:pPr>
    <w:rPr>
      <w:rFonts w:asciiTheme="majorHAnsi" w:eastAsiaTheme="majorEastAsia" w:hAnsiTheme="majorHAnsi" w:cstheme="majorBidi"/>
      <w:b/>
      <w:bCs/>
      <w:color w:val="000000"/>
      <w:sz w:val="28"/>
      <w:szCs w:val="28"/>
    </w:rPr>
  </w:style>
  <w:style w:type="paragraph" w:styleId="berschrift2">
    <w:name w:val="heading 2"/>
    <w:basedOn w:val="Standard"/>
    <w:next w:val="Standard"/>
    <w:link w:val="berschrift2Zchn"/>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berschrift3">
    <w:name w:val="heading 3"/>
    <w:basedOn w:val="Standard"/>
    <w:next w:val="Standard"/>
    <w:link w:val="berschrift3Zchn"/>
    <w:uiPriority w:val="9"/>
    <w:unhideWhenUsed/>
    <w:qFormat/>
    <w:rsid w:val="00FC693F"/>
    <w:pPr>
      <w:keepNext/>
      <w:keepLines/>
      <w:spacing w:before="120" w:after="60"/>
      <w:outlineLvl w:val="2"/>
    </w:pPr>
    <w:rPr>
      <w:rFonts w:asciiTheme="majorHAnsi" w:eastAsiaTheme="majorEastAsia" w:hAnsiTheme="majorHAnsi" w:cstheme="majorBidi"/>
      <w:b/>
      <w:bCs/>
      <w:color w:val="000000"/>
      <w:sz w:val="22"/>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aliases w:val="1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erarbeitung">
    <w:name w:val="Revision"/>
    <w:hidden/>
    <w:uiPriority w:val="99"/>
    <w:semiHidden/>
    <w:rsid w:val="00C87798"/>
    <w:pPr>
      <w:spacing w:after="0" w:line="240" w:lineRule="auto"/>
    </w:pPr>
    <w:rPr>
      <w:rFonts w:ascii="Arial" w:eastAsia="Arial" w:hAnsi="Arial"/>
      <w:sz w:val="21"/>
    </w:rPr>
  </w:style>
  <w:style w:type="paragraph" w:styleId="Verzeichnis1">
    <w:name w:val="toc 1"/>
    <w:basedOn w:val="Standard"/>
    <w:next w:val="Standard"/>
    <w:autoRedefine/>
    <w:uiPriority w:val="39"/>
    <w:unhideWhenUsed/>
    <w:rsid w:val="0049483F"/>
    <w:pPr>
      <w:spacing w:after="100"/>
    </w:pPr>
  </w:style>
  <w:style w:type="paragraph" w:styleId="Verzeichnis2">
    <w:name w:val="toc 2"/>
    <w:basedOn w:val="Standard"/>
    <w:next w:val="Standard"/>
    <w:autoRedefine/>
    <w:uiPriority w:val="39"/>
    <w:unhideWhenUsed/>
    <w:rsid w:val="0049483F"/>
    <w:pPr>
      <w:spacing w:after="100"/>
      <w:ind w:left="210"/>
    </w:pPr>
  </w:style>
  <w:style w:type="character" w:styleId="Hyperlink">
    <w:name w:val="Hyperlink"/>
    <w:basedOn w:val="Absatz-Standardschriftart"/>
    <w:uiPriority w:val="99"/>
    <w:unhideWhenUsed/>
    <w:rsid w:val="0049483F"/>
    <w:rPr>
      <w:color w:val="0000FF" w:themeColor="hyperlink"/>
      <w:u w:val="single"/>
    </w:rPr>
  </w:style>
  <w:style w:type="paragraph" w:customStyle="1" w:styleId="LutherBodyText">
    <w:name w:val="Luther Body Text"/>
    <w:basedOn w:val="Standard"/>
    <w:link w:val="LutherBodyTextChar"/>
    <w:qFormat/>
    <w:rsid w:val="00D12263"/>
    <w:pPr>
      <w:spacing w:before="120" w:after="240" w:line="320" w:lineRule="atLeast"/>
      <w:jc w:val="both"/>
    </w:pPr>
    <w:rPr>
      <w:rFonts w:eastAsiaTheme="minorHAnsi"/>
      <w:sz w:val="22"/>
      <w:lang w:val="de-DE"/>
    </w:rPr>
  </w:style>
  <w:style w:type="character" w:customStyle="1" w:styleId="LutherBodyTextChar">
    <w:name w:val="Luther Body Text Char"/>
    <w:basedOn w:val="Absatz-Standardschriftart"/>
    <w:link w:val="LutherBodyText"/>
    <w:rsid w:val="00D12263"/>
    <w:rPr>
      <w:rFonts w:ascii="Arial" w:eastAsiaTheme="minorHAnsi" w:hAnsi="Arial"/>
      <w:lang w:val="de-DE"/>
    </w:rPr>
  </w:style>
  <w:style w:type="paragraph" w:customStyle="1" w:styleId="LutE-LvL1-Heading">
    <w:name w:val="Lut.E - LvL 1 - Heading"/>
    <w:basedOn w:val="LutherBodyText"/>
    <w:next w:val="Standard"/>
    <w:link w:val="LutE-LvL1-HeadingChar"/>
    <w:qFormat/>
    <w:rsid w:val="00D12263"/>
    <w:pPr>
      <w:keepNext/>
      <w:numPr>
        <w:numId w:val="18"/>
      </w:numPr>
      <w:spacing w:before="360"/>
      <w:outlineLvl w:val="0"/>
    </w:pPr>
    <w:rPr>
      <w:b/>
    </w:rPr>
  </w:style>
  <w:style w:type="character" w:customStyle="1" w:styleId="LutE-LvL1-HeadingChar">
    <w:name w:val="Lut.E - LvL 1 - Heading Char"/>
    <w:basedOn w:val="LutherBodyTextChar"/>
    <w:link w:val="LutE-LvL1-Heading"/>
    <w:rsid w:val="00D12263"/>
    <w:rPr>
      <w:rFonts w:ascii="Arial" w:eastAsiaTheme="minorHAnsi" w:hAnsi="Arial"/>
      <w:b/>
      <w:lang w:val="de-DE"/>
    </w:rPr>
  </w:style>
  <w:style w:type="paragraph" w:customStyle="1" w:styleId="LutE-LvL1-Text">
    <w:name w:val="Lut.E - LvL 1 - Text"/>
    <w:basedOn w:val="LutherBodyText"/>
    <w:link w:val="LutE-LvL1-TextChar"/>
    <w:qFormat/>
    <w:rsid w:val="00D12263"/>
    <w:pPr>
      <w:ind w:left="567"/>
    </w:pPr>
  </w:style>
  <w:style w:type="character" w:customStyle="1" w:styleId="LutE-LvL1-TextChar">
    <w:name w:val="Lut.E - LvL 1 - Text Char"/>
    <w:basedOn w:val="LutherBodyTextChar"/>
    <w:link w:val="LutE-LvL1-Text"/>
    <w:rsid w:val="00D12263"/>
    <w:rPr>
      <w:rFonts w:ascii="Arial" w:eastAsiaTheme="minorHAnsi" w:hAnsi="Arial"/>
      <w:lang w:val="de-DE"/>
    </w:rPr>
  </w:style>
  <w:style w:type="paragraph" w:customStyle="1" w:styleId="LutE-LvL2-Heading">
    <w:name w:val="Lut.E - LvL 2 - Heading"/>
    <w:basedOn w:val="LutE-LvL1-Heading"/>
    <w:next w:val="Standard"/>
    <w:link w:val="LutE-LvL2-HeadingChar"/>
    <w:qFormat/>
    <w:rsid w:val="00D12263"/>
    <w:pPr>
      <w:keepNext w:val="0"/>
      <w:numPr>
        <w:ilvl w:val="1"/>
      </w:numPr>
      <w:spacing w:before="120"/>
      <w:outlineLvl w:val="1"/>
    </w:pPr>
    <w:rPr>
      <w:b w:val="0"/>
    </w:rPr>
  </w:style>
  <w:style w:type="character" w:customStyle="1" w:styleId="LutE-LvL2-HeadingChar">
    <w:name w:val="Lut.E - LvL 2 - Heading Char"/>
    <w:basedOn w:val="LutE-LvL1-HeadingChar"/>
    <w:link w:val="LutE-LvL2-Heading"/>
    <w:rsid w:val="00D12263"/>
    <w:rPr>
      <w:rFonts w:ascii="Arial" w:eastAsiaTheme="minorHAnsi" w:hAnsi="Arial"/>
      <w:b w:val="0"/>
      <w:lang w:val="de-DE"/>
    </w:rPr>
  </w:style>
  <w:style w:type="paragraph" w:customStyle="1" w:styleId="LutE-LvL2-Text">
    <w:name w:val="Lut.E - LvL 2 - Text"/>
    <w:basedOn w:val="LutE-LvL1-Text"/>
    <w:link w:val="LutE-LvL2-TextChar"/>
    <w:qFormat/>
    <w:rsid w:val="00D12263"/>
  </w:style>
  <w:style w:type="character" w:customStyle="1" w:styleId="LutE-LvL2-TextChar">
    <w:name w:val="Lut.E - LvL 2 - Text Char"/>
    <w:basedOn w:val="LutE-LvL1-TextChar"/>
    <w:link w:val="LutE-LvL2-Text"/>
    <w:rsid w:val="00D12263"/>
    <w:rPr>
      <w:rFonts w:ascii="Arial" w:eastAsiaTheme="minorHAnsi" w:hAnsi="Arial"/>
      <w:lang w:val="de-DE"/>
    </w:rPr>
  </w:style>
  <w:style w:type="paragraph" w:customStyle="1" w:styleId="LutE-LvL3-Heading">
    <w:name w:val="Lut.E - LvL 3 - Heading"/>
    <w:basedOn w:val="LutE-LvL2-Heading"/>
    <w:next w:val="Standard"/>
    <w:link w:val="LutE-LvL3-HeadingZchn"/>
    <w:qFormat/>
    <w:rsid w:val="00D12263"/>
    <w:pPr>
      <w:numPr>
        <w:ilvl w:val="2"/>
      </w:numPr>
      <w:outlineLvl w:val="2"/>
    </w:pPr>
  </w:style>
  <w:style w:type="character" w:customStyle="1" w:styleId="LutE-LvL3-HeadingZchn">
    <w:name w:val="Lut.E - LvL 3 - Heading Zchn"/>
    <w:basedOn w:val="LutE-LvL2-HeadingChar"/>
    <w:link w:val="LutE-LvL3-Heading"/>
    <w:rsid w:val="00D12263"/>
    <w:rPr>
      <w:rFonts w:ascii="Arial" w:eastAsiaTheme="minorHAnsi" w:hAnsi="Arial"/>
      <w:b w:val="0"/>
      <w:lang w:val="de-DE"/>
    </w:rPr>
  </w:style>
  <w:style w:type="paragraph" w:customStyle="1" w:styleId="LutE-LvL3-Text">
    <w:name w:val="Lut.E - LvL 3 - Text"/>
    <w:basedOn w:val="LutE-LvL2-Text"/>
    <w:link w:val="LutE-LvL3-TextChar"/>
    <w:qFormat/>
    <w:rsid w:val="00D12263"/>
    <w:pPr>
      <w:ind w:left="1418"/>
    </w:pPr>
  </w:style>
  <w:style w:type="character" w:customStyle="1" w:styleId="LutE-LvL3-TextChar">
    <w:name w:val="Lut.E - LvL 3 - Text Char"/>
    <w:basedOn w:val="LutE-LvL2-TextChar"/>
    <w:link w:val="LutE-LvL3-Text"/>
    <w:rsid w:val="00D12263"/>
    <w:rPr>
      <w:rFonts w:ascii="Arial" w:eastAsiaTheme="minorHAnsi" w:hAnsi="Arial"/>
      <w:lang w:val="de-DE"/>
    </w:rPr>
  </w:style>
  <w:style w:type="paragraph" w:customStyle="1" w:styleId="LutE-LvL4-Heading">
    <w:name w:val="Lut.E - LvL 4 - Heading"/>
    <w:basedOn w:val="LutE-LvL3-Heading"/>
    <w:next w:val="Standard"/>
    <w:qFormat/>
    <w:rsid w:val="00D12263"/>
    <w:pPr>
      <w:numPr>
        <w:ilvl w:val="3"/>
      </w:numPr>
      <w:outlineLvl w:val="3"/>
    </w:pPr>
  </w:style>
  <w:style w:type="paragraph" w:customStyle="1" w:styleId="LutE-LvL5-Heading">
    <w:name w:val="Lut.E - LvL 5 - Heading"/>
    <w:basedOn w:val="LutE-LvL4-Heading"/>
    <w:next w:val="Standard"/>
    <w:qFormat/>
    <w:rsid w:val="00D12263"/>
    <w:pPr>
      <w:numPr>
        <w:ilvl w:val="4"/>
      </w:numPr>
      <w:outlineLvl w:val="4"/>
    </w:pPr>
  </w:style>
  <w:style w:type="paragraph" w:customStyle="1" w:styleId="LutE-LvL6-Heading">
    <w:name w:val="Lut.E - LvL 6 - Heading"/>
    <w:basedOn w:val="LutE-LvL5-Heading"/>
    <w:next w:val="Standard"/>
    <w:qFormat/>
    <w:rsid w:val="00D12263"/>
    <w:pPr>
      <w:numPr>
        <w:ilvl w:val="5"/>
      </w:numPr>
      <w:outlineLvl w:val="5"/>
    </w:pPr>
  </w:style>
  <w:style w:type="paragraph" w:customStyle="1" w:styleId="LutE-LvL7-Heading">
    <w:name w:val="Lut.E - LvL 7 - Heading"/>
    <w:basedOn w:val="LutE-LvL6-Heading"/>
    <w:next w:val="Standard"/>
    <w:qFormat/>
    <w:rsid w:val="00D12263"/>
    <w:pPr>
      <w:numPr>
        <w:ilvl w:val="6"/>
      </w:numPr>
      <w:outlineLvl w:val="6"/>
    </w:pPr>
  </w:style>
  <w:style w:type="paragraph" w:customStyle="1" w:styleId="LutE-LvL8-Heading">
    <w:name w:val="Lut.E - LvL 8 - Heading"/>
    <w:basedOn w:val="LutE-LvL7-Heading"/>
    <w:next w:val="Standard"/>
    <w:qFormat/>
    <w:rsid w:val="00D12263"/>
    <w:pPr>
      <w:numPr>
        <w:ilvl w:val="7"/>
      </w:numPr>
      <w:outlineLvl w:val="7"/>
    </w:pPr>
  </w:style>
  <w:style w:type="paragraph" w:customStyle="1" w:styleId="LutE-LvL9-Heading">
    <w:name w:val="Lut.E - LvL 9 - Heading"/>
    <w:basedOn w:val="LutE-LvL8-Heading"/>
    <w:next w:val="Standard"/>
    <w:qFormat/>
    <w:rsid w:val="00D12263"/>
    <w:pPr>
      <w:numPr>
        <w:ilvl w:val="8"/>
      </w:numPr>
      <w:outlineLvl w:val="8"/>
    </w:pPr>
  </w:style>
  <w:style w:type="character" w:styleId="Kommentarzeichen">
    <w:name w:val="annotation reference"/>
    <w:basedOn w:val="Absatz-Standardschriftart"/>
    <w:uiPriority w:val="35"/>
    <w:unhideWhenUsed/>
    <w:rsid w:val="00544472"/>
    <w:rPr>
      <w:sz w:val="16"/>
      <w:szCs w:val="16"/>
    </w:rPr>
  </w:style>
  <w:style w:type="paragraph" w:styleId="Kommentartext">
    <w:name w:val="annotation text"/>
    <w:basedOn w:val="Standard"/>
    <w:link w:val="KommentartextZchn"/>
    <w:uiPriority w:val="35"/>
    <w:unhideWhenUsed/>
    <w:rsid w:val="00544472"/>
    <w:pPr>
      <w:spacing w:line="240" w:lineRule="auto"/>
    </w:pPr>
    <w:rPr>
      <w:sz w:val="20"/>
      <w:szCs w:val="20"/>
    </w:rPr>
  </w:style>
  <w:style w:type="character" w:customStyle="1" w:styleId="KommentartextZchn">
    <w:name w:val="Kommentartext Zchn"/>
    <w:basedOn w:val="Absatz-Standardschriftart"/>
    <w:link w:val="Kommentartext"/>
    <w:uiPriority w:val="35"/>
    <w:rsid w:val="00544472"/>
    <w:rPr>
      <w:rFonts w:ascii="Arial" w:eastAsia="Arial" w:hAnsi="Arial"/>
      <w:sz w:val="20"/>
      <w:szCs w:val="20"/>
    </w:rPr>
  </w:style>
  <w:style w:type="paragraph" w:styleId="Kommentarthema">
    <w:name w:val="annotation subject"/>
    <w:basedOn w:val="Kommentartext"/>
    <w:next w:val="Kommentartext"/>
    <w:link w:val="KommentarthemaZchn"/>
    <w:uiPriority w:val="99"/>
    <w:semiHidden/>
    <w:unhideWhenUsed/>
    <w:rsid w:val="00544472"/>
    <w:rPr>
      <w:b/>
      <w:bCs/>
    </w:rPr>
  </w:style>
  <w:style w:type="character" w:customStyle="1" w:styleId="KommentarthemaZchn">
    <w:name w:val="Kommentarthema Zchn"/>
    <w:basedOn w:val="KommentartextZchn"/>
    <w:link w:val="Kommentarthema"/>
    <w:uiPriority w:val="99"/>
    <w:semiHidden/>
    <w:rsid w:val="00544472"/>
    <w:rPr>
      <w:rFonts w:ascii="Arial" w:eastAsia="Arial" w:hAnsi="Arial"/>
      <w:b/>
      <w:bCs/>
      <w:sz w:val="20"/>
      <w:szCs w:val="20"/>
    </w:rPr>
  </w:style>
  <w:style w:type="character" w:styleId="Erwhnung">
    <w:name w:val="Mention"/>
    <w:basedOn w:val="Absatz-Standardschriftart"/>
    <w:uiPriority w:val="99"/>
    <w:unhideWhenUsed/>
    <w:rsid w:val="00CB7ADA"/>
    <w:rPr>
      <w:color w:val="2B579A"/>
      <w:shd w:val="clear" w:color="auto" w:fill="E1DFDD"/>
    </w:rPr>
  </w:style>
  <w:style w:type="paragraph" w:styleId="Verzeichnis3">
    <w:name w:val="toc 3"/>
    <w:basedOn w:val="Standard"/>
    <w:next w:val="Standard"/>
    <w:autoRedefine/>
    <w:uiPriority w:val="39"/>
    <w:unhideWhenUsed/>
    <w:rsid w:val="00B90D81"/>
    <w:pPr>
      <w:spacing w:after="100"/>
      <w:ind w:left="420"/>
    </w:pPr>
  </w:style>
  <w:style w:type="paragraph" w:styleId="Verzeichnis4">
    <w:name w:val="toc 4"/>
    <w:basedOn w:val="Standard"/>
    <w:next w:val="Standard"/>
    <w:autoRedefine/>
    <w:uiPriority w:val="39"/>
    <w:unhideWhenUsed/>
    <w:rsid w:val="00B90D81"/>
    <w:pPr>
      <w:spacing w:after="100" w:line="278" w:lineRule="auto"/>
      <w:ind w:left="720"/>
    </w:pPr>
    <w:rPr>
      <w:rFonts w:asciiTheme="minorHAnsi" w:eastAsiaTheme="minorEastAsia" w:hAnsiTheme="minorHAnsi"/>
      <w:kern w:val="2"/>
      <w:sz w:val="24"/>
      <w:szCs w:val="24"/>
      <w:lang w:val="de-DE" w:eastAsia="de-DE"/>
      <w14:ligatures w14:val="standardContextual"/>
    </w:rPr>
  </w:style>
  <w:style w:type="paragraph" w:styleId="Verzeichnis5">
    <w:name w:val="toc 5"/>
    <w:basedOn w:val="Standard"/>
    <w:next w:val="Standard"/>
    <w:autoRedefine/>
    <w:uiPriority w:val="39"/>
    <w:unhideWhenUsed/>
    <w:rsid w:val="00B90D81"/>
    <w:pPr>
      <w:spacing w:after="100" w:line="278" w:lineRule="auto"/>
      <w:ind w:left="960"/>
    </w:pPr>
    <w:rPr>
      <w:rFonts w:asciiTheme="minorHAnsi" w:eastAsiaTheme="minorEastAsia" w:hAnsiTheme="minorHAnsi"/>
      <w:kern w:val="2"/>
      <w:sz w:val="24"/>
      <w:szCs w:val="24"/>
      <w:lang w:val="de-DE" w:eastAsia="de-DE"/>
      <w14:ligatures w14:val="standardContextual"/>
    </w:rPr>
  </w:style>
  <w:style w:type="paragraph" w:styleId="Verzeichnis6">
    <w:name w:val="toc 6"/>
    <w:basedOn w:val="Standard"/>
    <w:next w:val="Standard"/>
    <w:autoRedefine/>
    <w:uiPriority w:val="39"/>
    <w:unhideWhenUsed/>
    <w:rsid w:val="00B90D81"/>
    <w:pPr>
      <w:spacing w:after="100" w:line="278" w:lineRule="auto"/>
      <w:ind w:left="1200"/>
    </w:pPr>
    <w:rPr>
      <w:rFonts w:asciiTheme="minorHAnsi" w:eastAsiaTheme="minorEastAsia" w:hAnsiTheme="minorHAnsi"/>
      <w:kern w:val="2"/>
      <w:sz w:val="24"/>
      <w:szCs w:val="24"/>
      <w:lang w:val="de-DE" w:eastAsia="de-DE"/>
      <w14:ligatures w14:val="standardContextual"/>
    </w:rPr>
  </w:style>
  <w:style w:type="paragraph" w:styleId="Verzeichnis7">
    <w:name w:val="toc 7"/>
    <w:basedOn w:val="Standard"/>
    <w:next w:val="Standard"/>
    <w:autoRedefine/>
    <w:uiPriority w:val="39"/>
    <w:unhideWhenUsed/>
    <w:rsid w:val="00B90D81"/>
    <w:pPr>
      <w:spacing w:after="100" w:line="278" w:lineRule="auto"/>
      <w:ind w:left="1440"/>
    </w:pPr>
    <w:rPr>
      <w:rFonts w:asciiTheme="minorHAnsi" w:eastAsiaTheme="minorEastAsia" w:hAnsiTheme="minorHAnsi"/>
      <w:kern w:val="2"/>
      <w:sz w:val="24"/>
      <w:szCs w:val="24"/>
      <w:lang w:val="de-DE" w:eastAsia="de-DE"/>
      <w14:ligatures w14:val="standardContextual"/>
    </w:rPr>
  </w:style>
  <w:style w:type="paragraph" w:styleId="Verzeichnis8">
    <w:name w:val="toc 8"/>
    <w:basedOn w:val="Standard"/>
    <w:next w:val="Standard"/>
    <w:autoRedefine/>
    <w:uiPriority w:val="39"/>
    <w:unhideWhenUsed/>
    <w:rsid w:val="00B90D81"/>
    <w:pPr>
      <w:spacing w:after="100" w:line="278" w:lineRule="auto"/>
      <w:ind w:left="1680"/>
    </w:pPr>
    <w:rPr>
      <w:rFonts w:asciiTheme="minorHAnsi" w:eastAsiaTheme="minorEastAsia" w:hAnsiTheme="minorHAnsi"/>
      <w:kern w:val="2"/>
      <w:sz w:val="24"/>
      <w:szCs w:val="24"/>
      <w:lang w:val="de-DE" w:eastAsia="de-DE"/>
      <w14:ligatures w14:val="standardContextual"/>
    </w:rPr>
  </w:style>
  <w:style w:type="paragraph" w:styleId="Verzeichnis9">
    <w:name w:val="toc 9"/>
    <w:basedOn w:val="Standard"/>
    <w:next w:val="Standard"/>
    <w:autoRedefine/>
    <w:uiPriority w:val="39"/>
    <w:unhideWhenUsed/>
    <w:rsid w:val="00B90D81"/>
    <w:pPr>
      <w:spacing w:after="100" w:line="278" w:lineRule="auto"/>
      <w:ind w:left="1920"/>
    </w:pPr>
    <w:rPr>
      <w:rFonts w:asciiTheme="minorHAnsi" w:eastAsiaTheme="minorEastAsia" w:hAnsiTheme="minorHAnsi"/>
      <w:kern w:val="2"/>
      <w:sz w:val="24"/>
      <w:szCs w:val="24"/>
      <w:lang w:val="de-DE" w:eastAsia="de-DE"/>
      <w14:ligatures w14:val="standardContextual"/>
    </w:rPr>
  </w:style>
  <w:style w:type="character" w:styleId="NichtaufgelsteErwhnung">
    <w:name w:val="Unresolved Mention"/>
    <w:basedOn w:val="Absatz-Standardschriftart"/>
    <w:uiPriority w:val="99"/>
    <w:semiHidden/>
    <w:unhideWhenUsed/>
    <w:rsid w:val="00B90D81"/>
    <w:rPr>
      <w:color w:val="605E5C"/>
      <w:shd w:val="clear" w:color="auto" w:fill="E1DFDD"/>
    </w:rPr>
  </w:style>
  <w:style w:type="paragraph" w:customStyle="1" w:styleId="Tabelle-11-schmal">
    <w:name w:val="Tabelle-11-schmal"/>
    <w:basedOn w:val="Standard"/>
    <w:uiPriority w:val="63"/>
    <w:rsid w:val="002C050A"/>
    <w:pPr>
      <w:spacing w:line="360" w:lineRule="atLeast"/>
    </w:pPr>
    <w:rPr>
      <w:rFonts w:eastAsia="MS Mincho" w:cs="Times New Roman"/>
      <w:sz w:val="22"/>
      <w:lang w:val="de-DE" w:eastAsia="de-DE"/>
    </w:rPr>
  </w:style>
  <w:style w:type="paragraph" w:customStyle="1" w:styleId="Text-8-Linksbndig">
    <w:name w:val="Text-8-Linksbündig"/>
    <w:basedOn w:val="Standard"/>
    <w:next w:val="Standard"/>
    <w:uiPriority w:val="63"/>
    <w:rsid w:val="002C050A"/>
    <w:pPr>
      <w:spacing w:before="20" w:line="300" w:lineRule="auto"/>
    </w:pPr>
    <w:rPr>
      <w:rFonts w:eastAsiaTheme="minorHAnsi" w:cs="Arial"/>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Props1.xml><?xml version="1.0" encoding="utf-8"?>
<ds:datastoreItem xmlns:ds="http://schemas.openxmlformats.org/officeDocument/2006/customXml" ds:itemID="{7E339820-ED7A-4894-8E19-D804DC432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1AEE003-F6AB-430D-8027-D4C1EA489EF3}">
  <ds:schemaRefs>
    <ds:schemaRef ds:uri="http://schemas.microsoft.com/sharepoint/v3/contenttype/forms"/>
  </ds:schemaRefs>
</ds:datastoreItem>
</file>

<file path=customXml/itemProps4.xml><?xml version="1.0" encoding="utf-8"?>
<ds:datastoreItem xmlns:ds="http://schemas.openxmlformats.org/officeDocument/2006/customXml" ds:itemID="{35089F74-8F8B-4048-A416-311EF9787BA2}">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11067</Words>
  <Characters>69726</Characters>
  <Application>Microsoft Office Word</Application>
  <DocSecurity>0</DocSecurity>
  <Lines>581</Lines>
  <Paragraphs>161</Paragraphs>
  <ScaleCrop>false</ScaleCrop>
  <HeadingPairs>
    <vt:vector size="2" baseType="variant">
      <vt:variant>
        <vt:lpstr>Titel</vt:lpstr>
      </vt:variant>
      <vt:variant>
        <vt:i4>1</vt:i4>
      </vt:variant>
    </vt:vector>
  </HeadingPairs>
  <TitlesOfParts>
    <vt:vector size="1" baseType="lpstr">
      <vt:lpstr>Entwurf Servicevertrag Baugruppen und Bauteile DVB AG</vt:lpstr>
    </vt:vector>
  </TitlesOfParts>
  <Manager/>
  <Company/>
  <LinksUpToDate>false</LinksUpToDate>
  <CharactersWithSpaces>80632</CharactersWithSpaces>
  <SharedDoc>false</SharedDoc>
  <HyperlinkBase/>
  <HLinks>
    <vt:vector size="192" baseType="variant">
      <vt:variant>
        <vt:i4>1638460</vt:i4>
      </vt:variant>
      <vt:variant>
        <vt:i4>188</vt:i4>
      </vt:variant>
      <vt:variant>
        <vt:i4>0</vt:i4>
      </vt:variant>
      <vt:variant>
        <vt:i4>5</vt:i4>
      </vt:variant>
      <vt:variant>
        <vt:lpwstr/>
      </vt:variant>
      <vt:variant>
        <vt:lpwstr>_Toc240985664</vt:lpwstr>
      </vt:variant>
      <vt:variant>
        <vt:i4>1638460</vt:i4>
      </vt:variant>
      <vt:variant>
        <vt:i4>182</vt:i4>
      </vt:variant>
      <vt:variant>
        <vt:i4>0</vt:i4>
      </vt:variant>
      <vt:variant>
        <vt:i4>5</vt:i4>
      </vt:variant>
      <vt:variant>
        <vt:lpwstr/>
      </vt:variant>
      <vt:variant>
        <vt:lpwstr>_Toc240985663</vt:lpwstr>
      </vt:variant>
      <vt:variant>
        <vt:i4>1638460</vt:i4>
      </vt:variant>
      <vt:variant>
        <vt:i4>176</vt:i4>
      </vt:variant>
      <vt:variant>
        <vt:i4>0</vt:i4>
      </vt:variant>
      <vt:variant>
        <vt:i4>5</vt:i4>
      </vt:variant>
      <vt:variant>
        <vt:lpwstr/>
      </vt:variant>
      <vt:variant>
        <vt:lpwstr>_Toc240985662</vt:lpwstr>
      </vt:variant>
      <vt:variant>
        <vt:i4>1638460</vt:i4>
      </vt:variant>
      <vt:variant>
        <vt:i4>170</vt:i4>
      </vt:variant>
      <vt:variant>
        <vt:i4>0</vt:i4>
      </vt:variant>
      <vt:variant>
        <vt:i4>5</vt:i4>
      </vt:variant>
      <vt:variant>
        <vt:lpwstr/>
      </vt:variant>
      <vt:variant>
        <vt:lpwstr>_Toc240985661</vt:lpwstr>
      </vt:variant>
      <vt:variant>
        <vt:i4>1638460</vt:i4>
      </vt:variant>
      <vt:variant>
        <vt:i4>164</vt:i4>
      </vt:variant>
      <vt:variant>
        <vt:i4>0</vt:i4>
      </vt:variant>
      <vt:variant>
        <vt:i4>5</vt:i4>
      </vt:variant>
      <vt:variant>
        <vt:lpwstr/>
      </vt:variant>
      <vt:variant>
        <vt:lpwstr>_Toc240985660</vt:lpwstr>
      </vt:variant>
      <vt:variant>
        <vt:i4>1703996</vt:i4>
      </vt:variant>
      <vt:variant>
        <vt:i4>158</vt:i4>
      </vt:variant>
      <vt:variant>
        <vt:i4>0</vt:i4>
      </vt:variant>
      <vt:variant>
        <vt:i4>5</vt:i4>
      </vt:variant>
      <vt:variant>
        <vt:lpwstr/>
      </vt:variant>
      <vt:variant>
        <vt:lpwstr>_Toc240985659</vt:lpwstr>
      </vt:variant>
      <vt:variant>
        <vt:i4>1703996</vt:i4>
      </vt:variant>
      <vt:variant>
        <vt:i4>152</vt:i4>
      </vt:variant>
      <vt:variant>
        <vt:i4>0</vt:i4>
      </vt:variant>
      <vt:variant>
        <vt:i4>5</vt:i4>
      </vt:variant>
      <vt:variant>
        <vt:lpwstr/>
      </vt:variant>
      <vt:variant>
        <vt:lpwstr>_Toc240985658</vt:lpwstr>
      </vt:variant>
      <vt:variant>
        <vt:i4>1703996</vt:i4>
      </vt:variant>
      <vt:variant>
        <vt:i4>146</vt:i4>
      </vt:variant>
      <vt:variant>
        <vt:i4>0</vt:i4>
      </vt:variant>
      <vt:variant>
        <vt:i4>5</vt:i4>
      </vt:variant>
      <vt:variant>
        <vt:lpwstr/>
      </vt:variant>
      <vt:variant>
        <vt:lpwstr>_Toc240985657</vt:lpwstr>
      </vt:variant>
      <vt:variant>
        <vt:i4>1703996</vt:i4>
      </vt:variant>
      <vt:variant>
        <vt:i4>140</vt:i4>
      </vt:variant>
      <vt:variant>
        <vt:i4>0</vt:i4>
      </vt:variant>
      <vt:variant>
        <vt:i4>5</vt:i4>
      </vt:variant>
      <vt:variant>
        <vt:lpwstr/>
      </vt:variant>
      <vt:variant>
        <vt:lpwstr>_Toc240985656</vt:lpwstr>
      </vt:variant>
      <vt:variant>
        <vt:i4>1703996</vt:i4>
      </vt:variant>
      <vt:variant>
        <vt:i4>134</vt:i4>
      </vt:variant>
      <vt:variant>
        <vt:i4>0</vt:i4>
      </vt:variant>
      <vt:variant>
        <vt:i4>5</vt:i4>
      </vt:variant>
      <vt:variant>
        <vt:lpwstr/>
      </vt:variant>
      <vt:variant>
        <vt:lpwstr>_Toc240985655</vt:lpwstr>
      </vt:variant>
      <vt:variant>
        <vt:i4>1703996</vt:i4>
      </vt:variant>
      <vt:variant>
        <vt:i4>128</vt:i4>
      </vt:variant>
      <vt:variant>
        <vt:i4>0</vt:i4>
      </vt:variant>
      <vt:variant>
        <vt:i4>5</vt:i4>
      </vt:variant>
      <vt:variant>
        <vt:lpwstr/>
      </vt:variant>
      <vt:variant>
        <vt:lpwstr>_Toc240985654</vt:lpwstr>
      </vt:variant>
      <vt:variant>
        <vt:i4>1703996</vt:i4>
      </vt:variant>
      <vt:variant>
        <vt:i4>122</vt:i4>
      </vt:variant>
      <vt:variant>
        <vt:i4>0</vt:i4>
      </vt:variant>
      <vt:variant>
        <vt:i4>5</vt:i4>
      </vt:variant>
      <vt:variant>
        <vt:lpwstr/>
      </vt:variant>
      <vt:variant>
        <vt:lpwstr>_Toc240985653</vt:lpwstr>
      </vt:variant>
      <vt:variant>
        <vt:i4>1703996</vt:i4>
      </vt:variant>
      <vt:variant>
        <vt:i4>116</vt:i4>
      </vt:variant>
      <vt:variant>
        <vt:i4>0</vt:i4>
      </vt:variant>
      <vt:variant>
        <vt:i4>5</vt:i4>
      </vt:variant>
      <vt:variant>
        <vt:lpwstr/>
      </vt:variant>
      <vt:variant>
        <vt:lpwstr>_Toc240985652</vt:lpwstr>
      </vt:variant>
      <vt:variant>
        <vt:i4>1703996</vt:i4>
      </vt:variant>
      <vt:variant>
        <vt:i4>110</vt:i4>
      </vt:variant>
      <vt:variant>
        <vt:i4>0</vt:i4>
      </vt:variant>
      <vt:variant>
        <vt:i4>5</vt:i4>
      </vt:variant>
      <vt:variant>
        <vt:lpwstr/>
      </vt:variant>
      <vt:variant>
        <vt:lpwstr>_Toc240985651</vt:lpwstr>
      </vt:variant>
      <vt:variant>
        <vt:i4>1703996</vt:i4>
      </vt:variant>
      <vt:variant>
        <vt:i4>104</vt:i4>
      </vt:variant>
      <vt:variant>
        <vt:i4>0</vt:i4>
      </vt:variant>
      <vt:variant>
        <vt:i4>5</vt:i4>
      </vt:variant>
      <vt:variant>
        <vt:lpwstr/>
      </vt:variant>
      <vt:variant>
        <vt:lpwstr>_Toc240985650</vt:lpwstr>
      </vt:variant>
      <vt:variant>
        <vt:i4>1769532</vt:i4>
      </vt:variant>
      <vt:variant>
        <vt:i4>98</vt:i4>
      </vt:variant>
      <vt:variant>
        <vt:i4>0</vt:i4>
      </vt:variant>
      <vt:variant>
        <vt:i4>5</vt:i4>
      </vt:variant>
      <vt:variant>
        <vt:lpwstr/>
      </vt:variant>
      <vt:variant>
        <vt:lpwstr>_Toc240985649</vt:lpwstr>
      </vt:variant>
      <vt:variant>
        <vt:i4>1769532</vt:i4>
      </vt:variant>
      <vt:variant>
        <vt:i4>92</vt:i4>
      </vt:variant>
      <vt:variant>
        <vt:i4>0</vt:i4>
      </vt:variant>
      <vt:variant>
        <vt:i4>5</vt:i4>
      </vt:variant>
      <vt:variant>
        <vt:lpwstr/>
      </vt:variant>
      <vt:variant>
        <vt:lpwstr>_Toc240985648</vt:lpwstr>
      </vt:variant>
      <vt:variant>
        <vt:i4>1769532</vt:i4>
      </vt:variant>
      <vt:variant>
        <vt:i4>86</vt:i4>
      </vt:variant>
      <vt:variant>
        <vt:i4>0</vt:i4>
      </vt:variant>
      <vt:variant>
        <vt:i4>5</vt:i4>
      </vt:variant>
      <vt:variant>
        <vt:lpwstr/>
      </vt:variant>
      <vt:variant>
        <vt:lpwstr>_Toc240985647</vt:lpwstr>
      </vt:variant>
      <vt:variant>
        <vt:i4>1769532</vt:i4>
      </vt:variant>
      <vt:variant>
        <vt:i4>80</vt:i4>
      </vt:variant>
      <vt:variant>
        <vt:i4>0</vt:i4>
      </vt:variant>
      <vt:variant>
        <vt:i4>5</vt:i4>
      </vt:variant>
      <vt:variant>
        <vt:lpwstr/>
      </vt:variant>
      <vt:variant>
        <vt:lpwstr>_Toc240985646</vt:lpwstr>
      </vt:variant>
      <vt:variant>
        <vt:i4>1769532</vt:i4>
      </vt:variant>
      <vt:variant>
        <vt:i4>74</vt:i4>
      </vt:variant>
      <vt:variant>
        <vt:i4>0</vt:i4>
      </vt:variant>
      <vt:variant>
        <vt:i4>5</vt:i4>
      </vt:variant>
      <vt:variant>
        <vt:lpwstr/>
      </vt:variant>
      <vt:variant>
        <vt:lpwstr>_Toc240985645</vt:lpwstr>
      </vt:variant>
      <vt:variant>
        <vt:i4>1769532</vt:i4>
      </vt:variant>
      <vt:variant>
        <vt:i4>68</vt:i4>
      </vt:variant>
      <vt:variant>
        <vt:i4>0</vt:i4>
      </vt:variant>
      <vt:variant>
        <vt:i4>5</vt:i4>
      </vt:variant>
      <vt:variant>
        <vt:lpwstr/>
      </vt:variant>
      <vt:variant>
        <vt:lpwstr>_Toc240985644</vt:lpwstr>
      </vt:variant>
      <vt:variant>
        <vt:i4>1769532</vt:i4>
      </vt:variant>
      <vt:variant>
        <vt:i4>62</vt:i4>
      </vt:variant>
      <vt:variant>
        <vt:i4>0</vt:i4>
      </vt:variant>
      <vt:variant>
        <vt:i4>5</vt:i4>
      </vt:variant>
      <vt:variant>
        <vt:lpwstr/>
      </vt:variant>
      <vt:variant>
        <vt:lpwstr>_Toc240985643</vt:lpwstr>
      </vt:variant>
      <vt:variant>
        <vt:i4>1769532</vt:i4>
      </vt:variant>
      <vt:variant>
        <vt:i4>56</vt:i4>
      </vt:variant>
      <vt:variant>
        <vt:i4>0</vt:i4>
      </vt:variant>
      <vt:variant>
        <vt:i4>5</vt:i4>
      </vt:variant>
      <vt:variant>
        <vt:lpwstr/>
      </vt:variant>
      <vt:variant>
        <vt:lpwstr>_Toc240985642</vt:lpwstr>
      </vt:variant>
      <vt:variant>
        <vt:i4>1769532</vt:i4>
      </vt:variant>
      <vt:variant>
        <vt:i4>50</vt:i4>
      </vt:variant>
      <vt:variant>
        <vt:i4>0</vt:i4>
      </vt:variant>
      <vt:variant>
        <vt:i4>5</vt:i4>
      </vt:variant>
      <vt:variant>
        <vt:lpwstr/>
      </vt:variant>
      <vt:variant>
        <vt:lpwstr>_Toc240985641</vt:lpwstr>
      </vt:variant>
      <vt:variant>
        <vt:i4>1769532</vt:i4>
      </vt:variant>
      <vt:variant>
        <vt:i4>44</vt:i4>
      </vt:variant>
      <vt:variant>
        <vt:i4>0</vt:i4>
      </vt:variant>
      <vt:variant>
        <vt:i4>5</vt:i4>
      </vt:variant>
      <vt:variant>
        <vt:lpwstr/>
      </vt:variant>
      <vt:variant>
        <vt:lpwstr>_Toc240985640</vt:lpwstr>
      </vt:variant>
      <vt:variant>
        <vt:i4>1835068</vt:i4>
      </vt:variant>
      <vt:variant>
        <vt:i4>38</vt:i4>
      </vt:variant>
      <vt:variant>
        <vt:i4>0</vt:i4>
      </vt:variant>
      <vt:variant>
        <vt:i4>5</vt:i4>
      </vt:variant>
      <vt:variant>
        <vt:lpwstr/>
      </vt:variant>
      <vt:variant>
        <vt:lpwstr>_Toc240985639</vt:lpwstr>
      </vt:variant>
      <vt:variant>
        <vt:i4>1835068</vt:i4>
      </vt:variant>
      <vt:variant>
        <vt:i4>32</vt:i4>
      </vt:variant>
      <vt:variant>
        <vt:i4>0</vt:i4>
      </vt:variant>
      <vt:variant>
        <vt:i4>5</vt:i4>
      </vt:variant>
      <vt:variant>
        <vt:lpwstr/>
      </vt:variant>
      <vt:variant>
        <vt:lpwstr>_Toc240985638</vt:lpwstr>
      </vt:variant>
      <vt:variant>
        <vt:i4>1835068</vt:i4>
      </vt:variant>
      <vt:variant>
        <vt:i4>26</vt:i4>
      </vt:variant>
      <vt:variant>
        <vt:i4>0</vt:i4>
      </vt:variant>
      <vt:variant>
        <vt:i4>5</vt:i4>
      </vt:variant>
      <vt:variant>
        <vt:lpwstr/>
      </vt:variant>
      <vt:variant>
        <vt:lpwstr>_Toc240985637</vt:lpwstr>
      </vt:variant>
      <vt:variant>
        <vt:i4>1835068</vt:i4>
      </vt:variant>
      <vt:variant>
        <vt:i4>20</vt:i4>
      </vt:variant>
      <vt:variant>
        <vt:i4>0</vt:i4>
      </vt:variant>
      <vt:variant>
        <vt:i4>5</vt:i4>
      </vt:variant>
      <vt:variant>
        <vt:lpwstr/>
      </vt:variant>
      <vt:variant>
        <vt:lpwstr>_Toc240985636</vt:lpwstr>
      </vt:variant>
      <vt:variant>
        <vt:i4>1835068</vt:i4>
      </vt:variant>
      <vt:variant>
        <vt:i4>14</vt:i4>
      </vt:variant>
      <vt:variant>
        <vt:i4>0</vt:i4>
      </vt:variant>
      <vt:variant>
        <vt:i4>5</vt:i4>
      </vt:variant>
      <vt:variant>
        <vt:lpwstr/>
      </vt:variant>
      <vt:variant>
        <vt:lpwstr>_Toc240985635</vt:lpwstr>
      </vt:variant>
      <vt:variant>
        <vt:i4>1835068</vt:i4>
      </vt:variant>
      <vt:variant>
        <vt:i4>8</vt:i4>
      </vt:variant>
      <vt:variant>
        <vt:i4>0</vt:i4>
      </vt:variant>
      <vt:variant>
        <vt:i4>5</vt:i4>
      </vt:variant>
      <vt:variant>
        <vt:lpwstr/>
      </vt:variant>
      <vt:variant>
        <vt:lpwstr>_Toc240985634</vt:lpwstr>
      </vt:variant>
      <vt:variant>
        <vt:i4>1835068</vt:i4>
      </vt:variant>
      <vt:variant>
        <vt:i4>2</vt:i4>
      </vt:variant>
      <vt:variant>
        <vt:i4>0</vt:i4>
      </vt:variant>
      <vt:variant>
        <vt:i4>5</vt:i4>
      </vt:variant>
      <vt:variant>
        <vt:lpwstr/>
      </vt:variant>
      <vt:variant>
        <vt:lpwstr>_Toc240985633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Servicevertrag Baugruppen und Bauteile DVB AG</dc:title>
  <dc:subject/>
  <dc:creator>OpenAI</dc:creator>
  <cp:keywords/>
  <dc:description>Automatisch erstellter Vertragsentwurf zur Abstimmung.</dc:description>
  <cp:lastModifiedBy>Stumpf Niklas, BLE2</cp:lastModifiedBy>
  <cp:revision>414</cp:revision>
  <dcterms:created xsi:type="dcterms:W3CDTF">2026-09-15T02:15:00Z</dcterms:created>
  <dcterms:modified xsi:type="dcterms:W3CDTF">2026-10-05T12:19:00Z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