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E96C6" w14:textId="77777777" w:rsidR="000C4EDD" w:rsidRDefault="000C4EDD">
      <w:pPr>
        <w:pStyle w:val="Textkrper2"/>
        <w:spacing w:line="240" w:lineRule="auto"/>
        <w:rPr>
          <w:sz w:val="24"/>
        </w:rPr>
      </w:pPr>
      <w:r>
        <w:rPr>
          <w:sz w:val="24"/>
        </w:rPr>
        <w:t xml:space="preserve">Eigenerklärung </w:t>
      </w:r>
      <w:r w:rsidR="0019127B">
        <w:rPr>
          <w:sz w:val="24"/>
        </w:rPr>
        <w:t>Urkalkulation</w:t>
      </w:r>
      <w:r>
        <w:rPr>
          <w:sz w:val="24"/>
        </w:rPr>
        <w:t xml:space="preserve"> </w:t>
      </w:r>
    </w:p>
    <w:p w14:paraId="178AE37A" w14:textId="77777777" w:rsidR="000C4EDD" w:rsidRDefault="000C4EDD">
      <w:pPr>
        <w:pStyle w:val="Textkrper2"/>
        <w:spacing w:line="240" w:lineRule="auto"/>
        <w:rPr>
          <w:sz w:val="24"/>
        </w:rPr>
      </w:pPr>
    </w:p>
    <w:p w14:paraId="464585FA" w14:textId="77777777" w:rsidR="000C4EDD" w:rsidRDefault="000C4EDD" w:rsidP="00AE00F4">
      <w:pPr>
        <w:widowControl w:val="0"/>
        <w:spacing w:line="360" w:lineRule="auto"/>
        <w:rPr>
          <w:rFonts w:cs="Arial"/>
          <w:bCs/>
        </w:rPr>
      </w:pPr>
    </w:p>
    <w:p w14:paraId="7431ACAC" w14:textId="77777777" w:rsidR="008A15BF" w:rsidRPr="008A15BF" w:rsidRDefault="008A15BF" w:rsidP="008A15BF">
      <w:pPr>
        <w:spacing w:before="120"/>
        <w:rPr>
          <w:rFonts w:cs="Arial"/>
          <w:sz w:val="24"/>
          <w:szCs w:val="24"/>
        </w:rPr>
      </w:pPr>
      <w:r w:rsidRPr="008A15BF">
        <w:rPr>
          <w:rFonts w:cs="Arial"/>
          <w:sz w:val="24"/>
          <w:szCs w:val="24"/>
        </w:rPr>
        <w:t>Der Auftragnehmer hat seine Preise so zu kalkulieren, dass die Angebotspreise mindestens für das erste Vertragsjahr festgeschrieben sind. Die Preise müssen bei der Kalkulation alle möglichen staatlichen Unterstützungsleistungen beinhalten.</w:t>
      </w:r>
    </w:p>
    <w:p w14:paraId="30BA2F0F" w14:textId="77777777" w:rsidR="008A15BF" w:rsidRPr="008A15BF" w:rsidRDefault="008A15BF" w:rsidP="008A15BF">
      <w:pPr>
        <w:spacing w:before="120"/>
        <w:rPr>
          <w:rFonts w:cs="Arial"/>
          <w:sz w:val="24"/>
          <w:szCs w:val="24"/>
        </w:rPr>
      </w:pPr>
      <w:r w:rsidRPr="008A15BF">
        <w:rPr>
          <w:rFonts w:cs="Arial"/>
          <w:sz w:val="24"/>
          <w:szCs w:val="24"/>
        </w:rPr>
        <w:t xml:space="preserve">Sowohl der Entwicklung im Rohstoffbereich (z.B. der Öl-, Strom-, Fernwärme- oder Gaspreis) als auch der Entwicklung der Lohnkosten wird Rechnung getragen. </w:t>
      </w:r>
    </w:p>
    <w:p w14:paraId="71AC0D91" w14:textId="77777777" w:rsidR="008A15BF" w:rsidRPr="008A15BF" w:rsidRDefault="008A15BF" w:rsidP="008A15BF">
      <w:pPr>
        <w:spacing w:before="120"/>
        <w:rPr>
          <w:rFonts w:cs="Arial"/>
          <w:sz w:val="24"/>
          <w:szCs w:val="24"/>
        </w:rPr>
      </w:pPr>
      <w:r w:rsidRPr="008A15BF">
        <w:rPr>
          <w:rFonts w:cs="Arial"/>
          <w:sz w:val="24"/>
          <w:szCs w:val="24"/>
        </w:rPr>
        <w:t xml:space="preserve">Kommt es nach Abschluss des Vertrages im Vergleich zu der in der Urkalkulation zugrunde gelegten Preisposition zu starken Kostensteigerungen oder -senkungen von mehr als 10 %, kann der vereinbarte Preis auf Nachweis und unter Berücksichtigung der Urkalkulation entsprechend nachverhandelt werden. </w:t>
      </w:r>
    </w:p>
    <w:p w14:paraId="70915993" w14:textId="77777777" w:rsidR="008A15BF" w:rsidRDefault="008A15BF" w:rsidP="008A15BF">
      <w:pPr>
        <w:spacing w:before="120"/>
        <w:rPr>
          <w:rFonts w:cs="Arial"/>
          <w:sz w:val="24"/>
          <w:szCs w:val="24"/>
        </w:rPr>
      </w:pPr>
      <w:r w:rsidRPr="00254C69">
        <w:rPr>
          <w:rFonts w:cs="Arial"/>
          <w:sz w:val="24"/>
          <w:szCs w:val="24"/>
        </w:rPr>
        <w:t>Anpassungen erfolgen nur auf Nachweis (z. B. Energie Rechnungen, Anhebung des gesetzlichen Mindestlohns) und wenn staatliche Unterstützungsleistungen (z. B. Preisbremse, Garantiepreise) eingerechnet sind und nur im Verhältnis vom prozentualen Anteil am Einzelpreis. Insgesamt wird ein Deckel eingezogen werden, welcher durch Anpassung während der Laufzeit nicht überschritten werden kann. (Einzelpreise dürfen sich nicht um mehr als 10 % erhöhen.) Preise können reduziert werden, wenn sich z. B. die Marktsituation oder die gesetzlichen Rahmenbedingungen im Bereich Energie verändern und die Belastung für den Auftragnehmer im Vergleich sinkt.</w:t>
      </w:r>
    </w:p>
    <w:p w14:paraId="13265DCE" w14:textId="77777777" w:rsidR="001E7587" w:rsidRPr="008A15BF" w:rsidRDefault="001E7587" w:rsidP="001E7587">
      <w:pPr>
        <w:spacing w:before="120"/>
        <w:rPr>
          <w:rFonts w:cs="Arial"/>
          <w:sz w:val="24"/>
          <w:szCs w:val="24"/>
        </w:rPr>
      </w:pPr>
      <w:r w:rsidRPr="008A15BF">
        <w:rPr>
          <w:rFonts w:cs="Arial"/>
          <w:sz w:val="24"/>
          <w:szCs w:val="24"/>
        </w:rPr>
        <w:t>Ergebnis ist dann im beidseitigen Einvernehmen schriftlich festzuhalten.</w:t>
      </w:r>
    </w:p>
    <w:p w14:paraId="41E975FD" w14:textId="77777777" w:rsidR="000C4EDD" w:rsidRDefault="000C4EDD">
      <w:pPr>
        <w:pStyle w:val="Textkrper"/>
        <w:spacing w:line="240" w:lineRule="auto"/>
        <w:rPr>
          <w:b w:val="0"/>
          <w:bCs w:val="0"/>
          <w:sz w:val="22"/>
        </w:rPr>
      </w:pPr>
    </w:p>
    <w:p w14:paraId="34602FB2" w14:textId="77777777" w:rsidR="000C4EDD" w:rsidRPr="00D567E8" w:rsidRDefault="008A15BF">
      <w:pPr>
        <w:pStyle w:val="Textkrper"/>
        <w:spacing w:line="240" w:lineRule="auto"/>
        <w:rPr>
          <w:rFonts w:cs="Times New Roman"/>
          <w:bCs w:val="0"/>
          <w:color w:val="000000"/>
          <w:sz w:val="22"/>
          <w:szCs w:val="22"/>
        </w:rPr>
      </w:pPr>
      <w:r>
        <w:rPr>
          <w:rFonts w:cs="Times New Roman"/>
          <w:bCs w:val="0"/>
          <w:color w:val="000000"/>
          <w:sz w:val="22"/>
          <w:szCs w:val="22"/>
        </w:rPr>
        <w:t>Daher</w:t>
      </w:r>
      <w:r w:rsidR="000C4EDD" w:rsidRPr="00D567E8">
        <w:rPr>
          <w:rFonts w:cs="Times New Roman"/>
          <w:bCs w:val="0"/>
          <w:color w:val="000000"/>
          <w:sz w:val="22"/>
          <w:szCs w:val="22"/>
        </w:rPr>
        <w:t xml:space="preserve"> weisen </w:t>
      </w:r>
      <w:r>
        <w:rPr>
          <w:rFonts w:cs="Times New Roman"/>
          <w:bCs w:val="0"/>
          <w:color w:val="000000"/>
          <w:sz w:val="22"/>
          <w:szCs w:val="22"/>
        </w:rPr>
        <w:t xml:space="preserve">wir </w:t>
      </w:r>
      <w:r w:rsidR="000C4EDD" w:rsidRPr="00D567E8">
        <w:rPr>
          <w:rFonts w:cs="Times New Roman"/>
          <w:bCs w:val="0"/>
          <w:color w:val="000000"/>
          <w:sz w:val="22"/>
          <w:szCs w:val="22"/>
        </w:rPr>
        <w:t>darauf hin, dass Ihr Angebot von der Wertung ausgeschlossen wird, wenn die Erkl</w:t>
      </w:r>
      <w:r w:rsidR="000C4EDD" w:rsidRPr="00D567E8">
        <w:rPr>
          <w:rFonts w:cs="Times New Roman"/>
          <w:bCs w:val="0"/>
          <w:color w:val="000000"/>
          <w:sz w:val="22"/>
          <w:szCs w:val="22"/>
        </w:rPr>
        <w:t>ä</w:t>
      </w:r>
      <w:r w:rsidR="000C4EDD" w:rsidRPr="00D567E8">
        <w:rPr>
          <w:rFonts w:cs="Times New Roman"/>
          <w:bCs w:val="0"/>
          <w:color w:val="000000"/>
          <w:sz w:val="22"/>
          <w:szCs w:val="22"/>
        </w:rPr>
        <w:t xml:space="preserve">rung </w:t>
      </w:r>
      <w:r w:rsidR="003E03C5">
        <w:rPr>
          <w:rFonts w:cs="Times New Roman"/>
          <w:bCs w:val="0"/>
          <w:color w:val="000000"/>
          <w:sz w:val="22"/>
          <w:szCs w:val="22"/>
        </w:rPr>
        <w:t xml:space="preserve">Urkalkulation </w:t>
      </w:r>
      <w:r w:rsidR="000C4EDD" w:rsidRPr="00D567E8">
        <w:rPr>
          <w:rFonts w:cs="Times New Roman"/>
          <w:bCs w:val="0"/>
          <w:color w:val="000000"/>
          <w:sz w:val="22"/>
          <w:szCs w:val="22"/>
        </w:rPr>
        <w:t>nicht abgegeben wird</w:t>
      </w:r>
      <w:r w:rsidR="006E0BBA" w:rsidRPr="00D567E8">
        <w:rPr>
          <w:rFonts w:cs="Times New Roman"/>
          <w:bCs w:val="0"/>
          <w:color w:val="000000"/>
          <w:sz w:val="22"/>
          <w:szCs w:val="22"/>
        </w:rPr>
        <w:t>.</w:t>
      </w:r>
      <w:r w:rsidR="00A36D2F" w:rsidRPr="00D567E8">
        <w:rPr>
          <w:rFonts w:cs="Times New Roman"/>
          <w:bCs w:val="0"/>
          <w:color w:val="000000"/>
          <w:sz w:val="22"/>
          <w:szCs w:val="22"/>
        </w:rPr>
        <w:t xml:space="preserve"> </w:t>
      </w:r>
      <w:r w:rsidR="00B437C8" w:rsidRPr="00D567E8">
        <w:rPr>
          <w:rFonts w:cs="Times New Roman"/>
          <w:bCs w:val="0"/>
          <w:color w:val="000000"/>
          <w:sz w:val="22"/>
          <w:szCs w:val="22"/>
        </w:rPr>
        <w:t xml:space="preserve">Wir behalten uns </w:t>
      </w:r>
      <w:r w:rsidR="00012756" w:rsidRPr="00D567E8">
        <w:rPr>
          <w:rFonts w:cs="Times New Roman"/>
          <w:bCs w:val="0"/>
          <w:color w:val="000000"/>
          <w:sz w:val="22"/>
          <w:szCs w:val="22"/>
        </w:rPr>
        <w:t xml:space="preserve">Nachfragen vor, wenn Ausführungen nicht schlüssig und plausibel nachvollziehbar sind. Außerdem behalten wir uns vor, </w:t>
      </w:r>
      <w:r w:rsidR="00B437C8" w:rsidRPr="00D567E8">
        <w:rPr>
          <w:rFonts w:cs="Times New Roman"/>
          <w:bCs w:val="0"/>
          <w:color w:val="000000"/>
          <w:sz w:val="22"/>
          <w:szCs w:val="22"/>
        </w:rPr>
        <w:t>Nac</w:t>
      </w:r>
      <w:r w:rsidR="00B437C8" w:rsidRPr="00D567E8">
        <w:rPr>
          <w:rFonts w:cs="Times New Roman"/>
          <w:bCs w:val="0"/>
          <w:color w:val="000000"/>
          <w:sz w:val="22"/>
          <w:szCs w:val="22"/>
        </w:rPr>
        <w:t>h</w:t>
      </w:r>
      <w:r w:rsidR="00B437C8" w:rsidRPr="00D567E8">
        <w:rPr>
          <w:rFonts w:cs="Times New Roman"/>
          <w:bCs w:val="0"/>
          <w:color w:val="000000"/>
          <w:sz w:val="22"/>
          <w:szCs w:val="22"/>
        </w:rPr>
        <w:t>weise nachzufordern.</w:t>
      </w:r>
    </w:p>
    <w:p w14:paraId="69128FC3" w14:textId="77777777" w:rsidR="000C4EDD" w:rsidRDefault="000C4EDD">
      <w:pPr>
        <w:widowControl w:val="0"/>
        <w:tabs>
          <w:tab w:val="left" w:pos="6600"/>
        </w:tabs>
        <w:spacing w:line="360" w:lineRule="auto"/>
        <w:rPr>
          <w:rFonts w:cs="Arial"/>
          <w:bCs/>
        </w:rPr>
      </w:pPr>
    </w:p>
    <w:p w14:paraId="08220C5A" w14:textId="77777777" w:rsidR="005C6446" w:rsidRDefault="005C6446" w:rsidP="005C6446">
      <w:pPr>
        <w:pStyle w:val="berschrift1"/>
        <w:spacing w:line="360" w:lineRule="auto"/>
        <w:rPr>
          <w:sz w:val="24"/>
          <w:lang w:val="it-IT"/>
        </w:rPr>
      </w:pPr>
      <w:r>
        <w:rPr>
          <w:sz w:val="24"/>
          <w:lang w:val="it-IT"/>
        </w:rPr>
        <w:t>E i g e n e r k l ä r u n g   d e s   B i e t e r s:</w:t>
      </w:r>
    </w:p>
    <w:p w14:paraId="1D408A60" w14:textId="77777777" w:rsidR="005C6446" w:rsidRDefault="005C6446" w:rsidP="005C6446">
      <w:pPr>
        <w:widowControl w:val="0"/>
        <w:tabs>
          <w:tab w:val="left" w:pos="6600"/>
        </w:tabs>
        <w:spacing w:line="360" w:lineRule="auto"/>
        <w:rPr>
          <w:rFonts w:cs="Arial"/>
          <w:bCs/>
          <w:lang w:val="it-IT"/>
        </w:rPr>
      </w:pP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1"/>
        <w:gridCol w:w="144"/>
      </w:tblGrid>
      <w:tr w:rsidR="00DB5504" w:rsidRPr="0014141C" w14:paraId="0F392A0C" w14:textId="77777777" w:rsidTr="007F360A">
        <w:trPr>
          <w:gridAfter w:val="1"/>
          <w:wAfter w:w="144" w:type="dxa"/>
          <w:trHeight w:val="5187"/>
        </w:trPr>
        <w:sdt>
          <w:sdtPr>
            <w:rPr>
              <w:rFonts w:cs="Arial"/>
              <w:bCs/>
            </w:rPr>
            <w:id w:val="473571254"/>
            <w:placeholder>
              <w:docPart w:val="DefaultPlaceholder_-1854013440"/>
            </w:placeholder>
            <w:showingPlcHdr/>
            <w:text/>
          </w:sdtPr>
          <w:sdtContent>
            <w:tc>
              <w:tcPr>
                <w:tcW w:w="9721" w:type="dxa"/>
                <w:shd w:val="clear" w:color="auto" w:fill="auto"/>
              </w:tcPr>
              <w:p w14:paraId="500948C2" w14:textId="6F1231FD" w:rsidR="00DB5504" w:rsidRPr="0014141C" w:rsidRDefault="00E30D78" w:rsidP="0014141C">
                <w:pPr>
                  <w:widowControl w:val="0"/>
                  <w:tabs>
                    <w:tab w:val="left" w:pos="6600"/>
                  </w:tabs>
                  <w:spacing w:line="360" w:lineRule="auto"/>
                  <w:rPr>
                    <w:rFonts w:cs="Arial"/>
                    <w:bCs/>
                  </w:rPr>
                </w:pPr>
                <w:r w:rsidRPr="0010620C">
                  <w:rPr>
                    <w:rStyle w:val="Platzhaltertext"/>
                  </w:rPr>
                  <w:t>Klicken oder tippen Sie hier, um Text einzugeben.</w:t>
                </w:r>
              </w:p>
            </w:tc>
          </w:sdtContent>
        </w:sdt>
      </w:tr>
      <w:tr w:rsidR="00D4058A" w:rsidRPr="00FB446F" w14:paraId="16D841C4" w14:textId="77777777" w:rsidTr="007F360A">
        <w:trPr>
          <w:trHeight w:val="13741"/>
        </w:trPr>
        <w:tc>
          <w:tcPr>
            <w:tcW w:w="9865" w:type="dxa"/>
            <w:gridSpan w:val="2"/>
            <w:shd w:val="clear" w:color="auto" w:fill="auto"/>
          </w:tcPr>
          <w:p w14:paraId="1F0ED398" w14:textId="77777777" w:rsidR="00D4058A" w:rsidRPr="00FB446F" w:rsidRDefault="00D4058A" w:rsidP="00FB446F">
            <w:pPr>
              <w:widowControl w:val="0"/>
              <w:tabs>
                <w:tab w:val="left" w:pos="6600"/>
              </w:tabs>
              <w:spacing w:line="360" w:lineRule="auto"/>
              <w:rPr>
                <w:rFonts w:cs="Arial"/>
                <w:bCs/>
              </w:rPr>
            </w:pPr>
          </w:p>
        </w:tc>
      </w:tr>
    </w:tbl>
    <w:p w14:paraId="015FC3FD" w14:textId="77777777" w:rsidR="000C4EDD" w:rsidRDefault="000C4EDD">
      <w:pPr>
        <w:widowControl w:val="0"/>
        <w:tabs>
          <w:tab w:val="left" w:pos="6600"/>
        </w:tabs>
        <w:spacing w:line="360" w:lineRule="auto"/>
        <w:rPr>
          <w:rFonts w:cs="Arial"/>
          <w:bCs/>
        </w:rPr>
      </w:pPr>
    </w:p>
    <w:sectPr w:rsidR="000C4EDD">
      <w:headerReference w:type="default" r:id="rId7"/>
      <w:footerReference w:type="default" r:id="rId8"/>
      <w:pgSz w:w="11906" w:h="16838" w:code="9"/>
      <w:pgMar w:top="1418" w:right="851" w:bottom="1134" w:left="1474" w:header="720" w:footer="720"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1E91F" w14:textId="77777777" w:rsidR="00D337DB" w:rsidRDefault="00D337DB">
      <w:r>
        <w:separator/>
      </w:r>
    </w:p>
  </w:endnote>
  <w:endnote w:type="continuationSeparator" w:id="0">
    <w:p w14:paraId="3C6650C0" w14:textId="77777777" w:rsidR="00D337DB" w:rsidRDefault="00D33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841D7" w14:textId="77777777" w:rsidR="00184D56" w:rsidRPr="00D44BF6" w:rsidRDefault="00D44BF6" w:rsidP="00D44BF6">
    <w:pPr>
      <w:pStyle w:val="Fuzeile"/>
      <w:rPr>
        <w:rFonts w:cs="Arial"/>
      </w:rPr>
    </w:pPr>
    <w:r w:rsidRPr="00F36BA6">
      <w:rPr>
        <w:rFonts w:cs="Arial"/>
      </w:rPr>
      <w:tab/>
    </w:r>
    <w:r w:rsidRPr="00F36BA6">
      <w:rPr>
        <w:rFonts w:cs="Arial"/>
      </w:rPr>
      <w:fldChar w:fldCharType="begin"/>
    </w:r>
    <w:r w:rsidRPr="00F36BA6">
      <w:rPr>
        <w:rFonts w:cs="Arial"/>
      </w:rPr>
      <w:instrText>PAGE   \* MERGEFORMAT</w:instrText>
    </w:r>
    <w:r w:rsidRPr="00F36BA6">
      <w:rPr>
        <w:rFonts w:cs="Arial"/>
      </w:rPr>
      <w:fldChar w:fldCharType="separate"/>
    </w:r>
    <w:r w:rsidR="00B34971">
      <w:rPr>
        <w:rFonts w:cs="Arial"/>
        <w:noProof/>
      </w:rPr>
      <w:t>1</w:t>
    </w:r>
    <w:r w:rsidRPr="00F36BA6">
      <w:rPr>
        <w:rFonts w:cs="Arial"/>
      </w:rPr>
      <w:fldChar w:fldCharType="end"/>
    </w:r>
    <w:r w:rsidRPr="00F36BA6">
      <w:rPr>
        <w:rFonts w:cs="Arial"/>
      </w:rPr>
      <w:t xml:space="preserve">/ </w:t>
    </w:r>
    <w:r w:rsidRPr="00F36BA6">
      <w:rPr>
        <w:rFonts w:cs="Arial"/>
      </w:rPr>
      <w:fldChar w:fldCharType="begin"/>
    </w:r>
    <w:r w:rsidRPr="00F36BA6">
      <w:rPr>
        <w:rFonts w:cs="Arial"/>
      </w:rPr>
      <w:instrText xml:space="preserve"> NUMPAGES   \* MERGEFORMAT </w:instrText>
    </w:r>
    <w:r w:rsidRPr="00F36BA6">
      <w:rPr>
        <w:rFonts w:cs="Arial"/>
      </w:rPr>
      <w:fldChar w:fldCharType="separate"/>
    </w:r>
    <w:r w:rsidR="00B34971">
      <w:rPr>
        <w:rFonts w:cs="Arial"/>
        <w:noProof/>
      </w:rPr>
      <w:t>2</w:t>
    </w:r>
    <w:r w:rsidRPr="00F36BA6">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50ADD" w14:textId="77777777" w:rsidR="00D337DB" w:rsidRDefault="00D337DB">
      <w:r>
        <w:separator/>
      </w:r>
    </w:p>
  </w:footnote>
  <w:footnote w:type="continuationSeparator" w:id="0">
    <w:p w14:paraId="61DD86F6" w14:textId="77777777" w:rsidR="00D337DB" w:rsidRDefault="00D33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E151A" w14:textId="405BA2BF" w:rsidR="00AE00F4" w:rsidRPr="00730C2B" w:rsidRDefault="002A287A" w:rsidP="00AE00F4">
    <w:pPr>
      <w:pStyle w:val="Kopfzeile"/>
      <w:rPr>
        <w:b/>
      </w:rPr>
    </w:pPr>
    <w:r>
      <w:rPr>
        <w:noProof/>
      </w:rPr>
      <w:drawing>
        <wp:anchor distT="0" distB="0" distL="114300" distR="114300" simplePos="0" relativeHeight="251657728" behindDoc="1" locked="0" layoutInCell="1" allowOverlap="1" wp14:anchorId="43B8F707" wp14:editId="26D123EB">
          <wp:simplePos x="0" y="0"/>
          <wp:positionH relativeFrom="page">
            <wp:posOffset>90170</wp:posOffset>
          </wp:positionH>
          <wp:positionV relativeFrom="page">
            <wp:posOffset>-247650</wp:posOffset>
          </wp:positionV>
          <wp:extent cx="7546975" cy="10666730"/>
          <wp:effectExtent l="0" t="0" r="0" b="0"/>
          <wp:wrapNone/>
          <wp:docPr id="2"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75" cy="10666730"/>
                  </a:xfrm>
                  <a:prstGeom prst="rect">
                    <a:avLst/>
                  </a:prstGeom>
                  <a:noFill/>
                  <a:ln>
                    <a:noFill/>
                  </a:ln>
                </pic:spPr>
              </pic:pic>
            </a:graphicData>
          </a:graphic>
          <wp14:sizeRelH relativeFrom="page">
            <wp14:pctWidth>0</wp14:pctWidth>
          </wp14:sizeRelH>
          <wp14:sizeRelV relativeFrom="page">
            <wp14:pctHeight>0</wp14:pctHeight>
          </wp14:sizeRelV>
        </wp:anchor>
      </w:drawing>
    </w:r>
    <w:r w:rsidR="00AE00F4">
      <w:rPr>
        <w:rFonts w:cs="Arial"/>
        <w:b/>
        <w:noProof/>
        <w:sz w:val="20"/>
      </w:rPr>
      <w:t xml:space="preserve">Anlage </w:t>
    </w:r>
    <w:r w:rsidR="00F32ABC">
      <w:rPr>
        <w:rFonts w:cs="Arial"/>
        <w:b/>
        <w:noProof/>
        <w:sz w:val="20"/>
      </w:rPr>
      <w:t>12</w:t>
    </w:r>
    <w:r w:rsidR="00AE00F4" w:rsidRPr="00ED7D65">
      <w:rPr>
        <w:rFonts w:cs="Arial"/>
        <w:b/>
        <w:noProof/>
        <w:sz w:val="20"/>
      </w:rPr>
      <w:t xml:space="preserve"> – </w:t>
    </w:r>
    <w:r w:rsidR="00AE00F4" w:rsidRPr="00AE00F4">
      <w:rPr>
        <w:rFonts w:cs="Arial"/>
        <w:b/>
        <w:noProof/>
        <w:sz w:val="20"/>
      </w:rPr>
      <w:t xml:space="preserve">Eigenerklärung </w:t>
    </w:r>
    <w:r w:rsidR="0019127B">
      <w:rPr>
        <w:rFonts w:cs="Arial"/>
        <w:b/>
        <w:noProof/>
        <w:sz w:val="20"/>
      </w:rPr>
      <w:t>Urkalkulation</w:t>
    </w:r>
    <w:r w:rsidR="00AE00F4" w:rsidRPr="00ED7D65">
      <w:rPr>
        <w:rFonts w:cs="Arial"/>
        <w:sz w:val="20"/>
      </w:rPr>
      <w:br/>
      <w:t xml:space="preserve">Verfahrensnummer </w:t>
    </w:r>
    <w:r w:rsidR="007F360A">
      <w:rPr>
        <w:rFonts w:cs="Arial"/>
        <w:sz w:val="20"/>
      </w:rPr>
      <w:t>172</w:t>
    </w:r>
    <w:r w:rsidR="008A15BF">
      <w:rPr>
        <w:rFonts w:cs="Arial"/>
        <w:sz w:val="20"/>
      </w:rPr>
      <w:t>/26</w:t>
    </w:r>
  </w:p>
  <w:p w14:paraId="2A6C6D8C" w14:textId="77777777" w:rsidR="00184D56" w:rsidRDefault="00184D56">
    <w:pPr>
      <w:pStyle w:val="Kopfzeile"/>
      <w:jc w:val="center"/>
      <w:rPr>
        <w:b/>
        <w:bCs/>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14B63"/>
    <w:multiLevelType w:val="hybridMultilevel"/>
    <w:tmpl w:val="A2B0BA4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872263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R0T0mXQwH0/xP97YoVvjy9onj0StLotoZa7oQBHxozDtIspgz546udP54TH4Dp06uorr52lpFNrQnPOHfYJ2Fg==" w:salt="iBUdixnfifdQwVWwqQRMaQ=="/>
  <w:defaultTabStop w:val="708"/>
  <w:autoHyphenation/>
  <w:hyphenationZone w:val="420"/>
  <w:drawingGridHorizontalSpacing w:val="110"/>
  <w:drawingGridVerticalSpacing w:val="299"/>
  <w:displayHorizontalDrawingGridEvery w:val="0"/>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81B"/>
    <w:rsid w:val="00012756"/>
    <w:rsid w:val="000409B2"/>
    <w:rsid w:val="000C1788"/>
    <w:rsid w:val="000C4EDD"/>
    <w:rsid w:val="000D2616"/>
    <w:rsid w:val="000F01AA"/>
    <w:rsid w:val="000F601D"/>
    <w:rsid w:val="00105011"/>
    <w:rsid w:val="0011563E"/>
    <w:rsid w:val="0014141C"/>
    <w:rsid w:val="001478FC"/>
    <w:rsid w:val="00184D56"/>
    <w:rsid w:val="0019127B"/>
    <w:rsid w:val="00192C30"/>
    <w:rsid w:val="00193824"/>
    <w:rsid w:val="001C40C9"/>
    <w:rsid w:val="001E7587"/>
    <w:rsid w:val="001F0644"/>
    <w:rsid w:val="0026434B"/>
    <w:rsid w:val="002772F6"/>
    <w:rsid w:val="002A113B"/>
    <w:rsid w:val="002A287A"/>
    <w:rsid w:val="002B284E"/>
    <w:rsid w:val="002E1DB5"/>
    <w:rsid w:val="002F0EF3"/>
    <w:rsid w:val="002F6243"/>
    <w:rsid w:val="0030629C"/>
    <w:rsid w:val="00363590"/>
    <w:rsid w:val="00377754"/>
    <w:rsid w:val="003E03C5"/>
    <w:rsid w:val="004005AD"/>
    <w:rsid w:val="00412B15"/>
    <w:rsid w:val="00413DC4"/>
    <w:rsid w:val="00432615"/>
    <w:rsid w:val="004920CC"/>
    <w:rsid w:val="004970F3"/>
    <w:rsid w:val="004C5088"/>
    <w:rsid w:val="00530267"/>
    <w:rsid w:val="00534939"/>
    <w:rsid w:val="005C6446"/>
    <w:rsid w:val="005D159F"/>
    <w:rsid w:val="005E20BC"/>
    <w:rsid w:val="006862C4"/>
    <w:rsid w:val="006C523C"/>
    <w:rsid w:val="006D2790"/>
    <w:rsid w:val="006E0BBA"/>
    <w:rsid w:val="007000E8"/>
    <w:rsid w:val="00716A95"/>
    <w:rsid w:val="00725353"/>
    <w:rsid w:val="007E5566"/>
    <w:rsid w:val="007F0FBA"/>
    <w:rsid w:val="007F360A"/>
    <w:rsid w:val="00823563"/>
    <w:rsid w:val="008836E6"/>
    <w:rsid w:val="008871FB"/>
    <w:rsid w:val="0089307C"/>
    <w:rsid w:val="008A15BF"/>
    <w:rsid w:val="008F221C"/>
    <w:rsid w:val="009051DA"/>
    <w:rsid w:val="009058B0"/>
    <w:rsid w:val="00976056"/>
    <w:rsid w:val="009B2766"/>
    <w:rsid w:val="009B6681"/>
    <w:rsid w:val="009D7099"/>
    <w:rsid w:val="009E3F3D"/>
    <w:rsid w:val="00A36D2F"/>
    <w:rsid w:val="00A519C1"/>
    <w:rsid w:val="00A5425A"/>
    <w:rsid w:val="00A96532"/>
    <w:rsid w:val="00AE00F4"/>
    <w:rsid w:val="00B04716"/>
    <w:rsid w:val="00B34971"/>
    <w:rsid w:val="00B41043"/>
    <w:rsid w:val="00B437C8"/>
    <w:rsid w:val="00B605F1"/>
    <w:rsid w:val="00B83C79"/>
    <w:rsid w:val="00B83E8A"/>
    <w:rsid w:val="00CB0F24"/>
    <w:rsid w:val="00D05A95"/>
    <w:rsid w:val="00D13676"/>
    <w:rsid w:val="00D337DB"/>
    <w:rsid w:val="00D4058A"/>
    <w:rsid w:val="00D44BF6"/>
    <w:rsid w:val="00D567E8"/>
    <w:rsid w:val="00D63FD2"/>
    <w:rsid w:val="00DB5504"/>
    <w:rsid w:val="00E23958"/>
    <w:rsid w:val="00E30D78"/>
    <w:rsid w:val="00E40135"/>
    <w:rsid w:val="00E439C5"/>
    <w:rsid w:val="00E56271"/>
    <w:rsid w:val="00E80725"/>
    <w:rsid w:val="00ED3B37"/>
    <w:rsid w:val="00F01FE4"/>
    <w:rsid w:val="00F32ABC"/>
    <w:rsid w:val="00F5218D"/>
    <w:rsid w:val="00F638C9"/>
    <w:rsid w:val="00F73EDC"/>
    <w:rsid w:val="00F7581B"/>
    <w:rsid w:val="00F773EC"/>
    <w:rsid w:val="00FA7702"/>
    <w:rsid w:val="00FB446F"/>
    <w:rsid w:val="00FE02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01E409A8"/>
  <w15:chartTrackingRefBased/>
  <w15:docId w15:val="{82C5FDA0-6936-45E5-AA51-47518CBC8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tabs>
        <w:tab w:val="left" w:pos="2694"/>
        <w:tab w:val="left" w:pos="4962"/>
      </w:tabs>
      <w:jc w:val="center"/>
      <w:outlineLvl w:val="0"/>
    </w:pPr>
    <w:rPr>
      <w:rFonts w:cs="Arial"/>
      <w:sz w:val="28"/>
    </w:rPr>
  </w:style>
  <w:style w:type="character" w:default="1" w:styleId="Absatz-Standardschriftart">
    <w:name w:val="Default Paragraph Font"/>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ntrollAufzhl">
    <w:name w:val="KontrollAufzähl"/>
    <w:basedOn w:val="Standard"/>
    <w:pPr>
      <w:tabs>
        <w:tab w:val="right" w:pos="9072"/>
      </w:tabs>
      <w:ind w:left="426" w:hanging="426"/>
      <w:jc w:val="both"/>
    </w:pPr>
    <w:rPr>
      <w:sz w:val="24"/>
    </w:rPr>
  </w:style>
  <w:style w:type="paragraph" w:customStyle="1" w:styleId="Vergabeber">
    <w:name w:val="Vergabeüber"/>
    <w:basedOn w:val="Standard"/>
    <w:rPr>
      <w:b/>
      <w:sz w:val="24"/>
    </w:rPr>
  </w:style>
  <w:style w:type="paragraph" w:styleId="Verzeichnis1">
    <w:name w:val="toc 1"/>
    <w:basedOn w:val="Standard"/>
    <w:next w:val="Standard"/>
    <w:autoRedefine/>
    <w:semiHidden/>
    <w:pPr>
      <w:spacing w:before="360"/>
    </w:pPr>
    <w:rPr>
      <w:rFonts w:cs="Arial"/>
      <w:b/>
      <w:noProof/>
      <w:sz w:val="24"/>
    </w:rPr>
  </w:style>
  <w:style w:type="paragraph" w:customStyle="1" w:styleId="Formatvorlage2">
    <w:name w:val="Formatvorlage2"/>
    <w:basedOn w:val="Standard"/>
    <w:pPr>
      <w:tabs>
        <w:tab w:val="left" w:pos="2694"/>
        <w:tab w:val="left" w:pos="4962"/>
      </w:tabs>
      <w:jc w:val="both"/>
    </w:pPr>
    <w:rPr>
      <w:rFonts w:cs="Arial"/>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
    <w:name w:val="Body Text"/>
    <w:basedOn w:val="Standard"/>
    <w:semiHidden/>
    <w:pPr>
      <w:tabs>
        <w:tab w:val="left" w:pos="2694"/>
        <w:tab w:val="left" w:pos="4962"/>
      </w:tabs>
      <w:spacing w:line="360" w:lineRule="auto"/>
      <w:jc w:val="both"/>
    </w:pPr>
    <w:rPr>
      <w:rFonts w:cs="Arial"/>
      <w:b/>
      <w:bCs/>
      <w:sz w:val="24"/>
    </w:rPr>
  </w:style>
  <w:style w:type="paragraph" w:customStyle="1" w:styleId="BodyTextStudienet">
    <w:name w:val="Body Text Studien et"/>
    <w:pPr>
      <w:spacing w:after="240" w:line="300" w:lineRule="atLeast"/>
      <w:jc w:val="both"/>
    </w:pPr>
    <w:rPr>
      <w:rFonts w:ascii="Helv" w:hAnsi="Helv"/>
      <w:sz w:val="24"/>
    </w:rPr>
  </w:style>
  <w:style w:type="paragraph" w:styleId="Textkrper2">
    <w:name w:val="Body Text 2"/>
    <w:basedOn w:val="Standard"/>
    <w:link w:val="Textkrper2Zchn"/>
    <w:semiHidden/>
    <w:pPr>
      <w:widowControl w:val="0"/>
      <w:spacing w:line="360" w:lineRule="auto"/>
      <w:jc w:val="center"/>
    </w:pPr>
    <w:rPr>
      <w:rFonts w:cs="Arial"/>
      <w:b/>
      <w:bCs/>
      <w:sz w:val="32"/>
    </w:rPr>
  </w:style>
  <w:style w:type="character" w:styleId="Seitenzahl">
    <w:name w:val="page number"/>
    <w:basedOn w:val="Absatz-Standardschriftart"/>
    <w:semiHidden/>
  </w:style>
  <w:style w:type="paragraph" w:styleId="Textkrper-Zeileneinzug">
    <w:name w:val="Body Text Indent"/>
    <w:basedOn w:val="Standard"/>
    <w:link w:val="Textkrper-ZeileneinzugZchn"/>
    <w:uiPriority w:val="99"/>
    <w:semiHidden/>
    <w:unhideWhenUsed/>
    <w:rsid w:val="00184D56"/>
    <w:pPr>
      <w:spacing w:after="120"/>
      <w:ind w:left="283"/>
    </w:pPr>
  </w:style>
  <w:style w:type="character" w:customStyle="1" w:styleId="Textkrper-ZeileneinzugZchn">
    <w:name w:val="Textkörper-Zeileneinzug Zchn"/>
    <w:link w:val="Textkrper-Zeileneinzug"/>
    <w:uiPriority w:val="99"/>
    <w:semiHidden/>
    <w:rsid w:val="00184D56"/>
    <w:rPr>
      <w:rFonts w:ascii="Arial" w:hAnsi="Arial"/>
      <w:sz w:val="22"/>
    </w:rPr>
  </w:style>
  <w:style w:type="character" w:customStyle="1" w:styleId="berschrift1Zchn">
    <w:name w:val="Überschrift 1 Zchn"/>
    <w:link w:val="berschrift1"/>
    <w:rsid w:val="005C6446"/>
    <w:rPr>
      <w:rFonts w:ascii="Arial" w:hAnsi="Arial" w:cs="Arial"/>
      <w:sz w:val="28"/>
    </w:rPr>
  </w:style>
  <w:style w:type="character" w:customStyle="1" w:styleId="Textkrper2Zchn">
    <w:name w:val="Textkörper 2 Zchn"/>
    <w:link w:val="Textkrper2"/>
    <w:semiHidden/>
    <w:rsid w:val="005C6446"/>
    <w:rPr>
      <w:rFonts w:ascii="Arial" w:hAnsi="Arial" w:cs="Arial"/>
      <w:b/>
      <w:bCs/>
      <w:sz w:val="32"/>
    </w:rPr>
  </w:style>
  <w:style w:type="character" w:customStyle="1" w:styleId="FuzeileZchn">
    <w:name w:val="Fußzeile Zchn"/>
    <w:link w:val="Fuzeile"/>
    <w:uiPriority w:val="99"/>
    <w:rsid w:val="000D2616"/>
    <w:rPr>
      <w:rFonts w:ascii="Arial" w:hAnsi="Arial"/>
      <w:sz w:val="22"/>
    </w:rPr>
  </w:style>
  <w:style w:type="paragraph" w:styleId="Sprechblasentext">
    <w:name w:val="Balloon Text"/>
    <w:basedOn w:val="Standard"/>
    <w:link w:val="SprechblasentextZchn"/>
    <w:uiPriority w:val="99"/>
    <w:semiHidden/>
    <w:unhideWhenUsed/>
    <w:rsid w:val="000F01AA"/>
    <w:rPr>
      <w:rFonts w:ascii="Tahoma" w:hAnsi="Tahoma" w:cs="Tahoma"/>
      <w:sz w:val="16"/>
      <w:szCs w:val="16"/>
    </w:rPr>
  </w:style>
  <w:style w:type="character" w:customStyle="1" w:styleId="SprechblasentextZchn">
    <w:name w:val="Sprechblasentext Zchn"/>
    <w:link w:val="Sprechblasentext"/>
    <w:uiPriority w:val="99"/>
    <w:semiHidden/>
    <w:rsid w:val="000F01AA"/>
    <w:rPr>
      <w:rFonts w:ascii="Tahoma" w:hAnsi="Tahoma" w:cs="Tahoma"/>
      <w:sz w:val="16"/>
      <w:szCs w:val="16"/>
    </w:rPr>
  </w:style>
  <w:style w:type="table" w:styleId="Tabellenraster">
    <w:name w:val="Table Grid"/>
    <w:basedOn w:val="NormaleTabelle"/>
    <w:uiPriority w:val="59"/>
    <w:rsid w:val="00D40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semiHidden/>
    <w:rsid w:val="00AE00F4"/>
    <w:rPr>
      <w:rFonts w:ascii="Arial" w:hAnsi="Arial"/>
      <w:sz w:val="22"/>
    </w:rPr>
  </w:style>
  <w:style w:type="character" w:styleId="Platzhaltertext">
    <w:name w:val="Placeholder Text"/>
    <w:basedOn w:val="Absatz-Standardschriftart"/>
    <w:uiPriority w:val="99"/>
    <w:semiHidden/>
    <w:rsid w:val="00E30D7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91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AE5C3E27-4A49-4185-866C-8917B911C174}"/>
      </w:docPartPr>
      <w:docPartBody>
        <w:p w:rsidR="0075230D" w:rsidRDefault="0075230D">
          <w:r w:rsidRPr="0010620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30D"/>
    <w:rsid w:val="0075230D"/>
    <w:rsid w:val="008C13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5230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257</Words>
  <Characters>1595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Erklärung zum Abschluss einer Haftpflichtversicherung entsprechend § </vt:lpstr>
    </vt:vector>
  </TitlesOfParts>
  <Company>Bundesknappschaft</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zum Abschluss einer Haftpflichtversicherung entsprechend §</dc:title>
  <dc:subject/>
  <dc:creator>ehoefer</dc:creator>
  <cp:keywords/>
  <dc:description/>
  <cp:lastModifiedBy>Tüzel, Sevgi</cp:lastModifiedBy>
  <cp:revision>3</cp:revision>
  <cp:lastPrinted>2015-03-05T12:33:00Z</cp:lastPrinted>
  <dcterms:created xsi:type="dcterms:W3CDTF">2026-10-27T17:46:00Z</dcterms:created>
  <dcterms:modified xsi:type="dcterms:W3CDTF">2026-10-27T17:47:00Z</dcterms:modified>
</cp:coreProperties>
</file>