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after="400"/>
      </w:pPr>
      <w:r>
        <w:rPr>
          <w:rFonts w:ascii="Arial" w:hAnsi="Arial" w:eastAsia="Arial"/>
          <w:b/>
          <w:color w:val="000000"/>
          <w:sz w:val="22"/>
        </w:rPr>
        <w:t>Vergabeverfahren: Wartung der Lüftungsanlagen 2027 bis 2030</w:t>
      </w:r>
    </w:p>
    <w:p>
      <w:pPr>
        <w:spacing w:after="160"/>
        <w:jc w:val="center"/>
      </w:pPr>
      <w:r>
        <w:rPr>
          <w:rFonts w:ascii="Arial" w:hAnsi="Arial" w:eastAsia="Arial"/>
          <w:b/>
          <w:color w:val="000000"/>
          <w:sz w:val="30"/>
        </w:rPr>
        <w:t>Eigenerklärung zu den Russland-Sanktionen</w:t>
      </w:r>
    </w:p>
    <w:p>
      <w:pPr>
        <w:spacing w:after="360"/>
        <w:jc w:val="center"/>
      </w:pPr>
      <w:r>
        <w:rPr>
          <w:rFonts w:ascii="Arial" w:hAnsi="Arial" w:eastAsia="Arial"/>
          <w:i/>
          <w:color w:val="000000"/>
          <w:sz w:val="21"/>
        </w:rPr>
        <w:t>Art. 5k der Verordnung (EU) Nr. 833/2014 in der jeweils geltenden Fassung</w:t>
      </w:r>
    </w:p>
    <w:p>
      <w:pPr>
        <w:keepNext/>
        <w:spacing w:after="100" w:line="259" w:lineRule="auto"/>
      </w:pPr>
      <w:r>
        <w:rPr>
          <w:rFonts w:ascii="Arial" w:hAnsi="Arial" w:eastAsia="Arial"/>
          <w:color w:val="000000"/>
          <w:sz w:val="21"/>
        </w:rPr>
        <w:t>Name des erklärenden Unternehmens / der erklärenden Bietergemeinschaft:</w:t>
      </w:r>
    </w:p>
    <w:p>
      <w:pPr>
        <w:spacing w:after="160"/>
      </w:pPr>
      <w:r>
        <w:t>________________________________________________________________________________</w:t>
      </w:r>
    </w:p>
    <w:p>
      <w:pPr>
        <w:keepNext w:val="0"/>
        <w:spacing w:after="100" w:line="259" w:lineRule="auto"/>
      </w:pPr>
      <w:r>
        <w:rPr>
          <w:rFonts w:ascii="Arial" w:hAnsi="Arial" w:eastAsia="Arial"/>
          <w:color w:val="000000"/>
          <w:sz w:val="21"/>
        </w:rPr>
        <w:t>☐ Erklärung wird für ein Nachunternehmen oder ein Unternehmen der Eignungsleihe abgegeben</w:t>
      </w:r>
    </w:p>
    <w:p>
      <w:pPr>
        <w:keepNext w:val="0"/>
        <w:keepLines/>
        <w:spacing w:after="100" w:line="259" w:lineRule="auto"/>
      </w:pPr>
      <w:r>
        <w:rPr>
          <w:rFonts w:ascii="Arial" w:hAnsi="Arial" w:eastAsia="Arial"/>
          <w:b/>
          <w:color w:val="000000"/>
          <w:sz w:val="21"/>
        </w:rPr>
        <w:t xml:space="preserve">1. </w:t>
      </w:r>
      <w:r>
        <w:rPr>
          <w:rFonts w:ascii="Arial" w:hAnsi="Arial" w:eastAsia="Arial"/>
          <w:color w:val="000000"/>
          <w:sz w:val="21"/>
        </w:rPr>
        <w:t>Ich/Wir erkläre(n), dass auf mein/unser Unternehmen keine der in Art. 5k Abs. 1 Buchst. a bis c der Verordnung (EU) Nr. 833/2014 genannten Voraussetzungen zutrifft.</w:t>
      </w:r>
    </w:p>
    <w:p>
      <w:pPr>
        <w:keepNext w:val="0"/>
        <w:keepLines/>
        <w:spacing w:after="100" w:line="259" w:lineRule="auto"/>
      </w:pPr>
      <w:r>
        <w:rPr>
          <w:rFonts w:ascii="Arial" w:hAnsi="Arial" w:eastAsia="Arial"/>
          <w:b/>
          <w:color w:val="000000"/>
          <w:sz w:val="21"/>
        </w:rPr>
        <w:t xml:space="preserve">2. </w:t>
      </w:r>
      <w:r>
        <w:rPr>
          <w:rFonts w:ascii="Arial" w:hAnsi="Arial" w:eastAsia="Arial"/>
          <w:color w:val="000000"/>
          <w:sz w:val="21"/>
        </w:rPr>
        <w:t>Ich/Wir erkläre(n), dass mein/unser Unternehmen keine Kapazitäten eines Unternehmens oder einer Person im Sinne von Art. 5k Abs. 1 Buchst. a bis c der Verordnung (EU) Nr. 833/2014 in Anspruch nimmt, soweit auf diese Kapazitäten mehr als 10 Prozent des Auftragswerts entfallen.</w:t>
      </w:r>
    </w:p>
    <w:p>
      <w:pPr>
        <w:keepNext w:val="0"/>
        <w:keepLines/>
        <w:spacing w:after="100" w:line="259" w:lineRule="auto"/>
      </w:pPr>
      <w:r>
        <w:rPr>
          <w:rFonts w:ascii="Arial" w:hAnsi="Arial" w:eastAsia="Arial"/>
          <w:b/>
          <w:color w:val="000000"/>
          <w:sz w:val="21"/>
        </w:rPr>
        <w:t xml:space="preserve">3. </w:t>
      </w:r>
      <w:r>
        <w:rPr>
          <w:rFonts w:ascii="Arial" w:hAnsi="Arial" w:eastAsia="Arial"/>
          <w:color w:val="000000"/>
          <w:sz w:val="21"/>
        </w:rPr>
        <w:t>Ich/Wir erkläre(n), dass bei der Auftragsausführung keine Nachunternehmen, Lieferanten oder Unternehmen der Eignungsleihe im Sinne von Art. 5k Abs. 1 Buchst. a bis c der Verordnung (EU) Nr. 833/2014 eingesetzt werden, soweit auf deren Leistungen oder Lieferungen einzeln oder zusammen mehr als 10 Prozent des Auftragswerts entfallen.</w:t>
      </w:r>
    </w:p>
    <w:p>
      <w:pPr>
        <w:keepNext w:val="0"/>
        <w:keepLines/>
        <w:spacing w:after="100" w:line="259" w:lineRule="auto"/>
      </w:pPr>
      <w:r>
        <w:rPr>
          <w:rFonts w:ascii="Arial" w:hAnsi="Arial" w:eastAsia="Arial"/>
          <w:b/>
          <w:color w:val="000000"/>
          <w:sz w:val="21"/>
        </w:rPr>
        <w:t xml:space="preserve">4. </w:t>
      </w:r>
      <w:r>
        <w:rPr>
          <w:rFonts w:ascii="Arial" w:hAnsi="Arial" w:eastAsia="Arial"/>
          <w:color w:val="000000"/>
          <w:sz w:val="21"/>
        </w:rPr>
        <w:t>Ich/Wir verpflichten uns, Änderungen, die die vorstehenden Erklärungen berühren, der Vergabestelle unverzüglich mitzuteilen und auf Verlangen geeignete Nachweise vorzulegen.</w:t>
      </w:r>
    </w:p>
    <w:p>
      <w:pPr>
        <w:keepNext w:val="0"/>
        <w:spacing w:after="100" w:line="259" w:lineRule="auto"/>
      </w:pPr>
      <w:r>
        <w:rPr>
          <w:rFonts w:ascii="Arial" w:hAnsi="Arial" w:eastAsia="Arial"/>
          <w:color w:val="000000"/>
          <w:sz w:val="21"/>
        </w:rPr>
        <w:t>Hinweis: Die Erklärung bezieht sich auf die jeweils geltende Fassung der Verordnung. Gesetzliche Ausnahmen oder behördliche Genehmigungen sind mit dem Angebot vollständig offenzulegen und nachzuweisen.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2"/>
        <w:gridCol w:w="4082"/>
      </w:tblGrid>
      <w:tr>
        <w:tc>
          <w:tcPr>
            <w:tcW w:type="dxa" w:w="4677"/>
            <w:vAlign w:val="center"/>
            <w:tcBorders>
              <w:top w:val="single" w:sz="4" w:color="808080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20"/>
              </w:rPr>
            </w:r>
          </w:p>
        </w:tc>
        <w:tc>
          <w:tcPr>
            <w:tcW w:type="dxa" w:w="4677"/>
            <w:vAlign w:val="center"/>
            <w:tcBorders>
              <w:top w:val="single" w:sz="4" w:color="808080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467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8"/>
              </w:rPr>
              <w:t>Ort, Datum</w:t>
            </w:r>
          </w:p>
        </w:tc>
        <w:tc>
          <w:tcPr>
            <w:tcW w:type="dxa" w:w="467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8"/>
              </w:rPr>
              <w:t>Name / Unterschrift oder Namensangabe in Textform</w:t>
            </w:r>
          </w:p>
        </w:tc>
      </w:tr>
    </w:tbl>
    <w:sectPr>
      <w:headerReference w:type="default" r:id="rId9"/>
      <w:footerReference w:type="default" r:id="rId10"/>
      <w:footerReference w:type="first" r:id="rId13"/>
      <w:headerReference w:type="first" r:id="rId14"/>
      <w:pgSz w:w="11906" w:h="16838"/>
      <w:pgMar w:top="1134" w:right="1134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uzeile"/>
      <w:jc w:val="right"/>
      <w:rPr>
        <w:rFonts w:ascii="Arial" w:hAnsi="Arial" w:cs="Arial"/>
        <w:color w:val="808080"/>
        <w:sz w:val="18"/>
        <w:szCs w:val="18"/>
      </w:rPr>
    </w:pPr>
    <w:r>
      <w:rPr>
        <w:rFonts w:ascii="Arial" w:hAnsi="Arial" w:cs="Arial"/>
        <w:color w:val="808080"/>
        <w:sz w:val="18"/>
        <w:szCs w:val="18"/>
      </w:rPr>
      <w:t xml:space="preserve">Seite </w:t>
    </w:r>
    <w:r>
      <w:rPr>
        <w:rFonts w:ascii="Arial" w:hAnsi="Arial" w:cs="Arial"/>
        <w:b/>
        <w:bCs/>
        <w:color w:val="808080"/>
        <w:sz w:val="18"/>
        <w:szCs w:val="18"/>
      </w:rPr>
      <w:fldChar w:fldCharType="begin"/>
    </w:r>
    <w:r>
      <w:rPr>
        <w:rFonts w:ascii="Arial" w:hAnsi="Arial" w:cs="Arial"/>
        <w:b/>
        <w:bCs/>
        <w:color w:val="808080"/>
        <w:sz w:val="18"/>
        <w:szCs w:val="18"/>
      </w:rPr>
      <w:instrText>PAGE  \* Arabic  \* MERGEFORMAT</w:instrText>
    </w:r>
    <w:r>
      <w:rPr>
        <w:rFonts w:ascii="Arial" w:hAnsi="Arial" w:cs="Arial"/>
        <w:b/>
        <w:bCs/>
        <w:color w:val="808080"/>
        <w:sz w:val="18"/>
        <w:szCs w:val="18"/>
      </w:rPr>
      <w:fldChar w:fldCharType="separate"/>
    </w:r>
    <w:r>
      <w:rPr>
        <w:rFonts w:ascii="Arial" w:hAnsi="Arial" w:cs="Arial"/>
        <w:b/>
        <w:bCs/>
        <w:noProof/>
        <w:color w:val="808080"/>
        <w:sz w:val="18"/>
        <w:szCs w:val="18"/>
      </w:rPr>
      <w:t>1</w:t>
    </w:r>
    <w:r>
      <w:rPr>
        <w:rFonts w:ascii="Arial" w:hAnsi="Arial" w:cs="Arial"/>
        <w:b/>
        <w:bCs/>
        <w:color w:val="808080"/>
        <w:sz w:val="18"/>
        <w:szCs w:val="18"/>
      </w:rPr>
      <w:fldChar w:fldCharType="end"/>
    </w:r>
    <w:r>
      <w:rPr>
        <w:rFonts w:ascii="Arial" w:hAnsi="Arial" w:cs="Arial"/>
        <w:color w:val="808080"/>
        <w:sz w:val="18"/>
        <w:szCs w:val="18"/>
      </w:rPr>
      <w:t xml:space="preserve"> von </w:t>
    </w:r>
    <w:r>
      <w:rPr>
        <w:rFonts w:ascii="Arial" w:hAnsi="Arial" w:cs="Arial"/>
        <w:b/>
        <w:bCs/>
        <w:color w:val="808080"/>
        <w:sz w:val="18"/>
        <w:szCs w:val="18"/>
      </w:rPr>
      <w:fldChar w:fldCharType="begin"/>
    </w:r>
    <w:r>
      <w:rPr>
        <w:rFonts w:ascii="Arial" w:hAnsi="Arial" w:cs="Arial"/>
        <w:b/>
        <w:bCs/>
        <w:color w:val="808080"/>
        <w:sz w:val="18"/>
        <w:szCs w:val="18"/>
      </w:rPr>
      <w:instrText>NUMPAGES  \* Arabic  \* MERGEFORMAT</w:instrText>
    </w:r>
    <w:r>
      <w:rPr>
        <w:rFonts w:ascii="Arial" w:hAnsi="Arial" w:cs="Arial"/>
        <w:b/>
        <w:bCs/>
        <w:color w:val="808080"/>
        <w:sz w:val="18"/>
        <w:szCs w:val="18"/>
      </w:rPr>
      <w:fldChar w:fldCharType="separate"/>
    </w:r>
    <w:r>
      <w:rPr>
        <w:rFonts w:ascii="Arial" w:hAnsi="Arial" w:cs="Arial"/>
        <w:b/>
        <w:bCs/>
        <w:noProof/>
        <w:color w:val="808080"/>
        <w:sz w:val="18"/>
        <w:szCs w:val="18"/>
      </w:rPr>
      <w:t>2</w:t>
    </w:r>
    <w:r>
      <w:rPr>
        <w:rFonts w:ascii="Arial" w:hAnsi="Arial" w:cs="Arial"/>
        <w:b/>
        <w:bCs/>
        <w:color w:val="80808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tabs>
        <w:tab w:val="center" w:pos="4536"/>
        <w:tab w:val="right" w:pos="9072"/>
      </w:tabs>
      <w:spacing w:after="60"/>
      <w:jc w:val="right"/>
      <w:rPr>
        <w:rFonts w:ascii="Arial" w:hAnsi="Arial" w:cs="Arial"/>
        <w:color w:val="808080"/>
        <w:sz w:val="18"/>
        <w:szCs w:val="18"/>
      </w:rPr>
    </w:pPr>
    <w:r>
      <w:rPr>
        <w:rFonts w:ascii="Arial" w:hAnsi="Arial" w:eastAsia="Arial"/>
        <w:color w:val="000000"/>
        <w:sz w:val="18"/>
      </w:rPr>
      <w:t>Seite 1 von 1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tabs>
        <w:tab w:val="center" w:pos="4536"/>
        <w:tab w:val="right" w:pos="9072"/>
      </w:tabs>
      <w:spacing w:after="60"/>
      <w:jc w:val="right"/>
      <w:rPr>
        <w:rFonts w:ascii="Arial" w:hAnsi="Arial" w:cs="Arial"/>
        <w:color w:val="808080"/>
        <w:sz w:val="18"/>
        <w:szCs w:val="18"/>
      </w:rPr>
    </w:pPr>
    <w:r>
      <w:rPr>
        <w:rFonts w:ascii="Arial" w:hAnsi="Arial" w:cs="Arial"/>
        <w:color w:val="808080"/>
        <w:sz w:val="18"/>
        <w:szCs w:val="18"/>
      </w:rPr>
      <w:t xml:space="preserve">Stand: </w:t>
    </w:r>
    <w:r>
      <w:rPr>
        <w:rFonts w:ascii="Arial" w:hAnsi="Arial" w:cs="Arial"/>
        <w:color w:val="808080"/>
        <w:sz w:val="18"/>
        <w:szCs w:val="18"/>
      </w:rPr>
      <w:t>1</w:t>
    </w:r>
    <w:r>
      <w:rPr>
        <w:rFonts w:ascii="Arial" w:hAnsi="Arial" w:cs="Arial"/>
        <w:color w:val="808080"/>
        <w:sz w:val="18"/>
        <w:szCs w:val="18"/>
      </w:rPr>
      <w:t>2</w:t>
    </w:r>
    <w:r>
      <w:rPr>
        <w:rFonts w:ascii="Arial" w:hAnsi="Arial" w:cs="Arial"/>
        <w:color w:val="808080"/>
        <w:sz w:val="18"/>
        <w:szCs w:val="18"/>
      </w:rPr>
      <w:t>.</w:t>
    </w:r>
    <w:r>
      <w:rPr>
        <w:rFonts w:ascii="Arial" w:hAnsi="Arial" w:cs="Arial"/>
        <w:color w:val="808080"/>
        <w:sz w:val="18"/>
        <w:szCs w:val="18"/>
      </w:rPr>
      <w:t>04</w:t>
    </w:r>
    <w:r>
      <w:rPr>
        <w:rFonts w:ascii="Arial" w:hAnsi="Arial" w:cs="Arial"/>
        <w:color w:val="808080"/>
        <w:sz w:val="18"/>
        <w:szCs w:val="18"/>
      </w:rPr>
      <w:t>.</w:t>
    </w:r>
    <w:r>
      <w:rPr>
        <w:rFonts w:ascii="Arial" w:hAnsi="Arial" w:cs="Arial"/>
        <w:color w:val="808080"/>
        <w:sz w:val="18"/>
        <w:szCs w:val="18"/>
      </w:rPr>
      <w:t>2022</w:t>
    </w:r>
  </w:p>
  <w:p>
    <w:pPr>
      <w:tabs>
        <w:tab w:val="center" w:pos="4536"/>
        <w:tab w:val="right" w:pos="9072"/>
      </w:tabs>
      <w:spacing w:after="60"/>
      <w:rPr>
        <w:rFonts w:ascii="Arial" w:hAnsi="Arial" w:cs="Arial"/>
        <w:color w:val="808080"/>
        <w:sz w:val="18"/>
        <w:szCs w:val="18"/>
      </w:rPr>
    </w:pPr>
    <w:r>
      <w:rPr>
        <w:rFonts w:ascii="Arial" w:hAnsi="Arial" w:cs="Arial"/>
        <w:color w:val="808080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tabs>
        <w:tab w:val="center" w:pos="4536"/>
        <w:tab w:val="right" w:pos="9072"/>
      </w:tabs>
      <w:spacing w:after="60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8"/>
        <w:szCs w:val="18"/>
      </w:rPr>
      <w:tab/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047DB"/>
    <w:multiLevelType w:val="hybridMultilevel"/>
    <w:tmpl w:val="055839B6"/>
    <w:lvl w:ilvl="0" w:tplc="985212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94220"/>
    <w:multiLevelType w:val="hybridMultilevel"/>
    <w:tmpl w:val="969091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028C5"/>
    <w:multiLevelType w:val="hybridMultilevel"/>
    <w:tmpl w:val="7062E246"/>
    <w:lvl w:ilvl="0" w:tplc="0407000B">
      <w:start w:val="1"/>
      <w:numFmt w:val="bullet"/>
      <w:lvlText w:val=""/>
      <w:lvlJc w:val="left"/>
      <w:pPr>
        <w:ind w:left="51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3" w15:restartNumberingAfterBreak="0">
    <w:nsid w:val="667310B4"/>
    <w:multiLevelType w:val="hybridMultilevel"/>
    <w:tmpl w:val="1EA8607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40B1D"/>
    <w:multiLevelType w:val="hybridMultilevel"/>
    <w:tmpl w:val="1E8A13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24036"/>
    <w:multiLevelType w:val="hybridMultilevel"/>
    <w:tmpl w:val="43522D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37100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52B4225"/>
    <w:multiLevelType w:val="hybridMultilevel"/>
    <w:tmpl w:val="BE9E522A"/>
    <w:lvl w:ilvl="0" w:tplc="913C0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spinCount="100000" w:hashValue="SBw7kI4eXozODg9w6FpE3aGs5Vw4Z5zRE/rr+EmsjP3RnnqvQOalk3Lo7GfDZRymf2cEnsPkL6nqCf10oqzNjQ==" w:saltValue="xsNP6MzQ7/1hmHe2cK1/gw==" w:algorithmName="SHA-512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ummer" w:val="90/19"/>
    <w:docVar w:name="Bemerkung" w:val="Eigenerklärung Russlandsanktionen"/>
    <w:docVar w:name="DDNr" w:val="d11/d114-22"/>
    <w:docVar w:name="DDNummerPH" w:val="fehlt"/>
    <w:docVar w:name="EAStatus" w:val="0"/>
    <w:docVar w:name="RADKS" w:val="#;$a;@"/>
    <w:docVar w:name="Rubrik" w:val="solleer"/>
    <w:docVar w:name="Schlagwort" w:val="solleer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5:chartTrackingRefBased/>
  <w15:docId w15:val="{414C136B-CA1D-4CE5-9BA0-C4ED01E3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numPr>
        <w:numId w:val="7"/>
      </w:numPr>
      <w:spacing w:before="240" w:after="0"/>
      <w:outlineLvl w:val="0"/>
    </w:pPr>
    <w:rPr>
      <w:rFonts w:asciiTheme="majorHAnsi" w:eastAsiaTheme="majorEastAsia" w:hAnsiTheme="majorHAnsi" w:cstheme="majorBidi" w:ascii="Arial" w:hAnsi="Arial"/>
      <w:b/>
      <w:color w:val="000000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numPr>
        <w:ilvl w:val="1"/>
        <w:numId w:val="7"/>
      </w:numPr>
      <w:spacing w:before="40" w:after="0"/>
      <w:outlineLvl w:val="1"/>
    </w:pPr>
    <w:rPr>
      <w:rFonts w:asciiTheme="majorHAnsi" w:eastAsiaTheme="majorEastAsia" w:hAnsiTheme="majorHAnsi" w:cstheme="majorBidi" w:ascii="Arial" w:hAnsi="Arial"/>
      <w:b/>
      <w:color w:val="000000"/>
      <w:sz w:val="23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numPr>
        <w:ilvl w:val="2"/>
        <w:numId w:val="7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numPr>
        <w:ilvl w:val="3"/>
        <w:numId w:val="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4834</Characters>
  <Application>Microsoft Office Word</Application>
  <DocSecurity>8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Russland-Sanktionen</dc:title>
  <dc:subject>Vergabeverfahren Wartung Lüftungsanlagen 2027 bis 2030</dc:subject>
  <dc:creator>Universitätsklinikum Regensburg</dc:creator>
  <cp:keywords/>
  <dc:description>Veröffentlichungsfassung Oktober 2026</dc:description>
  <cp:lastModifiedBy>Universitätsklinikum Regensburg</cp:lastModifiedBy>
  <cp:revision>5</cp:revision>
  <cp:lastPrinted>2022-04-12T08:36:00Z</cp:lastPrinted>
  <dcterms:created xsi:type="dcterms:W3CDTF">2022-04-12T10:37:00Z</dcterms:created>
  <dcterms:modified xsi:type="dcterms:W3CDTF">2024-08-08T05:41:00Z</dcterms:modified>
</cp:coreProperties>
</file>